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97" w:rsidRPr="007345CA" w:rsidRDefault="00476997" w:rsidP="009538C1">
      <w:pPr>
        <w:pStyle w:val="Default"/>
        <w:jc w:val="center"/>
        <w:rPr>
          <w:color w:val="auto"/>
          <w:sz w:val="32"/>
          <w:szCs w:val="32"/>
        </w:rPr>
      </w:pPr>
      <w:r w:rsidRPr="007345CA">
        <w:rPr>
          <w:rFonts w:hint="eastAsia"/>
          <w:color w:val="auto"/>
          <w:sz w:val="32"/>
          <w:szCs w:val="32"/>
        </w:rPr>
        <w:t>國立臺灣大學</w:t>
      </w:r>
      <w:r w:rsidR="00760832" w:rsidRPr="007345CA">
        <w:rPr>
          <w:rFonts w:hint="eastAsia"/>
          <w:color w:val="auto"/>
          <w:sz w:val="32"/>
          <w:szCs w:val="32"/>
          <w:u w:val="single"/>
          <w:lang w:eastAsia="zh-HK"/>
        </w:rPr>
        <w:t>生命科學院</w:t>
      </w:r>
      <w:r w:rsidRPr="007345CA">
        <w:rPr>
          <w:rFonts w:hint="eastAsia"/>
          <w:color w:val="auto"/>
          <w:sz w:val="32"/>
          <w:szCs w:val="32"/>
        </w:rPr>
        <w:t>學士班學生論文獎評審要點</w:t>
      </w:r>
    </w:p>
    <w:p w:rsidR="00476997" w:rsidRPr="007345CA" w:rsidRDefault="00476997" w:rsidP="009538C1">
      <w:pPr>
        <w:pStyle w:val="Default"/>
        <w:wordWrap w:val="0"/>
        <w:jc w:val="right"/>
        <w:rPr>
          <w:rFonts w:hAnsi="Calibri"/>
          <w:color w:val="auto"/>
          <w:sz w:val="23"/>
          <w:szCs w:val="23"/>
        </w:rPr>
      </w:pPr>
      <w:r w:rsidRPr="007345CA">
        <w:rPr>
          <w:rFonts w:ascii="Calibri" w:hAnsi="Calibri" w:cs="Calibri"/>
          <w:color w:val="auto"/>
          <w:sz w:val="23"/>
          <w:szCs w:val="23"/>
        </w:rPr>
        <w:t>108.</w:t>
      </w:r>
      <w:r w:rsidR="00760832" w:rsidRPr="007345CA">
        <w:rPr>
          <w:rFonts w:ascii="Calibri" w:hAnsi="Calibri" w:cs="Calibri" w:hint="eastAsia"/>
          <w:color w:val="auto"/>
          <w:sz w:val="23"/>
          <w:szCs w:val="23"/>
        </w:rPr>
        <w:t>5</w:t>
      </w:r>
      <w:r w:rsidRPr="007345CA">
        <w:rPr>
          <w:rFonts w:ascii="Calibri" w:hAnsi="Calibri" w:cs="Calibri"/>
          <w:color w:val="auto"/>
          <w:sz w:val="23"/>
          <w:szCs w:val="23"/>
        </w:rPr>
        <w:t>.</w:t>
      </w:r>
      <w:r w:rsidR="00760832" w:rsidRPr="007345CA">
        <w:rPr>
          <w:rFonts w:ascii="Calibri" w:hAnsi="Calibri" w:cs="Calibri" w:hint="eastAsia"/>
          <w:color w:val="auto"/>
          <w:sz w:val="23"/>
          <w:szCs w:val="23"/>
        </w:rPr>
        <w:t>9</w:t>
      </w:r>
      <w:r w:rsidR="00760832" w:rsidRPr="007345CA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760832" w:rsidRPr="007345CA">
        <w:rPr>
          <w:rFonts w:ascii="Calibri" w:hAnsi="Calibri" w:cs="Calibri" w:hint="eastAsia"/>
          <w:color w:val="auto"/>
          <w:sz w:val="23"/>
          <w:szCs w:val="23"/>
        </w:rPr>
        <w:t>108</w:t>
      </w:r>
      <w:r w:rsidRPr="007345CA">
        <w:rPr>
          <w:rFonts w:hAnsi="Calibri" w:hint="eastAsia"/>
          <w:color w:val="auto"/>
          <w:sz w:val="23"/>
          <w:szCs w:val="23"/>
        </w:rPr>
        <w:t>學年度第</w:t>
      </w:r>
      <w:r w:rsidR="00247DFC">
        <w:rPr>
          <w:rFonts w:hAnsi="Calibri" w:hint="eastAsia"/>
          <w:color w:val="auto"/>
          <w:sz w:val="23"/>
          <w:szCs w:val="23"/>
        </w:rPr>
        <w:t>2學期</w:t>
      </w:r>
      <w:r w:rsidR="00247DFC">
        <w:rPr>
          <w:rFonts w:hAnsi="Calibri" w:hint="eastAsia"/>
          <w:color w:val="auto"/>
          <w:sz w:val="23"/>
          <w:szCs w:val="23"/>
          <w:lang w:eastAsia="zh-HK"/>
        </w:rPr>
        <w:t>臨時</w:t>
      </w:r>
      <w:r w:rsidR="00760832" w:rsidRPr="007345CA">
        <w:rPr>
          <w:rFonts w:hAnsi="Calibri" w:hint="eastAsia"/>
          <w:color w:val="auto"/>
          <w:sz w:val="23"/>
          <w:szCs w:val="23"/>
          <w:lang w:eastAsia="zh-HK"/>
        </w:rPr>
        <w:t>院務</w:t>
      </w:r>
      <w:r w:rsidRPr="007345CA">
        <w:rPr>
          <w:rFonts w:hAnsi="Calibri" w:hint="eastAsia"/>
          <w:color w:val="auto"/>
          <w:sz w:val="23"/>
          <w:szCs w:val="23"/>
        </w:rPr>
        <w:t>會議</w:t>
      </w:r>
      <w:r w:rsidR="009A53DF">
        <w:rPr>
          <w:rFonts w:hAnsi="Calibri" w:hint="eastAsia"/>
          <w:color w:val="auto"/>
          <w:sz w:val="23"/>
          <w:szCs w:val="23"/>
          <w:lang w:eastAsia="zh-HK"/>
        </w:rPr>
        <w:t>通過</w:t>
      </w:r>
    </w:p>
    <w:p w:rsidR="00760832" w:rsidRPr="00247DFC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3"/>
          <w:szCs w:val="23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一、目的：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9538C1" w:rsidP="007345CA">
      <w:pPr>
        <w:pStyle w:val="Default"/>
        <w:spacing w:line="400" w:lineRule="exact"/>
        <w:ind w:leftChars="233" w:left="559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為鼓勵本</w:t>
      </w:r>
      <w:r w:rsidR="00E031C4">
        <w:rPr>
          <w:rFonts w:hAnsi="Calibri" w:hint="eastAsia"/>
          <w:color w:val="auto"/>
          <w:sz w:val="28"/>
          <w:szCs w:val="28"/>
          <w:lang w:eastAsia="zh-HK"/>
        </w:rPr>
        <w:t>校</w:t>
      </w:r>
      <w:r w:rsidR="00760832" w:rsidRPr="007345CA">
        <w:rPr>
          <w:rFonts w:hAnsi="Calibri" w:hint="eastAsia"/>
          <w:color w:val="auto"/>
          <w:sz w:val="28"/>
          <w:szCs w:val="28"/>
        </w:rPr>
        <w:t>具有研究潛力之學士班學生從事學術研究工作，並獎勵其研究成果，特</w:t>
      </w:r>
      <w:r w:rsidR="00760832" w:rsidRPr="007345CA">
        <w:rPr>
          <w:rFonts w:hAnsi="Calibri" w:hint="eastAsia"/>
          <w:color w:val="auto"/>
          <w:sz w:val="28"/>
          <w:szCs w:val="28"/>
          <w:u w:val="single"/>
          <w:lang w:eastAsia="zh-HK"/>
        </w:rPr>
        <w:t>依本校</w:t>
      </w:r>
      <w:r w:rsidR="00760832" w:rsidRPr="007345CA">
        <w:rPr>
          <w:rFonts w:hAnsi="標楷體" w:hint="eastAsia"/>
          <w:color w:val="auto"/>
          <w:sz w:val="28"/>
          <w:szCs w:val="28"/>
          <w:u w:val="single"/>
        </w:rPr>
        <w:t>「</w:t>
      </w:r>
      <w:r w:rsidR="00760832" w:rsidRPr="007345CA">
        <w:rPr>
          <w:rFonts w:hAnsi="標楷體" w:hint="eastAsia"/>
          <w:color w:val="auto"/>
          <w:sz w:val="28"/>
          <w:szCs w:val="28"/>
          <w:u w:val="single"/>
          <w:lang w:eastAsia="zh-HK"/>
        </w:rPr>
        <w:t>學士班學生論文獎評審要點</w:t>
      </w:r>
      <w:r w:rsidRPr="007345CA">
        <w:rPr>
          <w:rFonts w:hAnsi="標楷體" w:hint="eastAsia"/>
          <w:color w:val="auto"/>
          <w:sz w:val="28"/>
          <w:szCs w:val="28"/>
          <w:u w:val="single"/>
          <w:lang w:eastAsia="zh-HK"/>
        </w:rPr>
        <w:t>」</w:t>
      </w:r>
      <w:r w:rsidR="00760832" w:rsidRPr="007345CA">
        <w:rPr>
          <w:rFonts w:hAnsi="標楷體" w:hint="eastAsia"/>
          <w:color w:val="auto"/>
          <w:sz w:val="28"/>
          <w:szCs w:val="28"/>
          <w:u w:val="single"/>
          <w:lang w:eastAsia="zh-HK"/>
        </w:rPr>
        <w:t>第六點</w:t>
      </w:r>
      <w:r w:rsidR="009C10F1">
        <w:rPr>
          <w:rFonts w:hAnsi="標楷體" w:hint="eastAsia"/>
          <w:color w:val="auto"/>
          <w:sz w:val="28"/>
          <w:szCs w:val="28"/>
          <w:u w:val="single"/>
          <w:lang w:eastAsia="zh-HK"/>
        </w:rPr>
        <w:t>第四款</w:t>
      </w:r>
      <w:r w:rsidR="00760832" w:rsidRPr="007345CA">
        <w:rPr>
          <w:rFonts w:hAnsi="Calibri" w:hint="eastAsia"/>
          <w:color w:val="auto"/>
          <w:sz w:val="28"/>
          <w:szCs w:val="28"/>
          <w:u w:val="single"/>
        </w:rPr>
        <w:t>訂定</w:t>
      </w:r>
      <w:r w:rsidR="00760832" w:rsidRPr="007345CA">
        <w:rPr>
          <w:rFonts w:hAnsi="Calibri" w:hint="eastAsia"/>
          <w:color w:val="auto"/>
          <w:sz w:val="28"/>
          <w:szCs w:val="28"/>
        </w:rPr>
        <w:t>本要點。</w:t>
      </w:r>
      <w:r w:rsidR="00760832"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二、獎項種類：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0B4617">
      <w:pPr>
        <w:pStyle w:val="Default"/>
        <w:spacing w:line="400" w:lineRule="exact"/>
        <w:ind w:leftChars="233" w:left="559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獎項分為學士班學生論文傅斯年獎、校長獎、院長獎及優良獎四類，得獎者除頒予獎狀並公開表揚外，傅斯年獎及校長獎得同時頒給獎金，金額由校方另訂之。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三、獎勵對象：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0B4617">
      <w:pPr>
        <w:pStyle w:val="Default"/>
        <w:spacing w:line="400" w:lineRule="exact"/>
        <w:ind w:leftChars="233" w:left="559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限本校學士班在學學生且為論文之主要研究者及撰稿者，論文之研究工作主體必須在本校就學期間完成</w:t>
      </w:r>
      <w:r w:rsidR="00E031C4">
        <w:rPr>
          <w:rFonts w:hAnsi="Calibri" w:hint="eastAsia"/>
          <w:color w:val="auto"/>
          <w:sz w:val="28"/>
          <w:szCs w:val="28"/>
        </w:rPr>
        <w:t>，</w:t>
      </w:r>
      <w:r w:rsidR="00E031C4" w:rsidRPr="00E031C4">
        <w:rPr>
          <w:rFonts w:hAnsi="Calibri" w:hint="eastAsia"/>
          <w:color w:val="auto"/>
          <w:sz w:val="28"/>
          <w:szCs w:val="28"/>
          <w:u w:val="single"/>
          <w:lang w:eastAsia="zh-HK"/>
        </w:rPr>
        <w:t>且指導或共同指導</w:t>
      </w:r>
      <w:r w:rsidR="00E031C4" w:rsidRPr="00E031C4">
        <w:rPr>
          <w:rFonts w:hAnsi="Calibri" w:hint="eastAsia"/>
          <w:color w:val="auto"/>
          <w:sz w:val="28"/>
          <w:szCs w:val="28"/>
          <w:u w:val="single"/>
          <w:lang w:eastAsia="zh-HK"/>
        </w:rPr>
        <w:t>老師</w:t>
      </w:r>
      <w:r w:rsidR="00E031C4" w:rsidRPr="00E031C4">
        <w:rPr>
          <w:rFonts w:hAnsi="Calibri" w:hint="eastAsia"/>
          <w:color w:val="auto"/>
          <w:sz w:val="28"/>
          <w:szCs w:val="28"/>
          <w:u w:val="single"/>
          <w:lang w:eastAsia="zh-HK"/>
        </w:rPr>
        <w:t>必須為本院專任教師</w:t>
      </w:r>
      <w:r w:rsidRPr="007345CA">
        <w:rPr>
          <w:rFonts w:hAnsi="Calibri" w:hint="eastAsia"/>
          <w:color w:val="auto"/>
          <w:sz w:val="28"/>
          <w:szCs w:val="28"/>
        </w:rPr>
        <w:t>。如以共同研究成果申請者，應將每一參與研究者之具體工作內容與貢獻分別說明，並由全體研究者簽名證明。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四、申請方式：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0B4617">
      <w:pPr>
        <w:pStyle w:val="Default"/>
        <w:spacing w:line="400" w:lineRule="exact"/>
        <w:ind w:leftChars="233" w:left="559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本校學士班在學學生，依當年度公告之申請方式及論文格式連同下列資料，向所屬學系或適當學系提出申請：</w:t>
      </w:r>
    </w:p>
    <w:p w:rsidR="00760832" w:rsidRPr="007345CA" w:rsidRDefault="00760832" w:rsidP="0052561D">
      <w:pPr>
        <w:pStyle w:val="Default"/>
        <w:numPr>
          <w:ilvl w:val="0"/>
          <w:numId w:val="5"/>
        </w:numPr>
        <w:spacing w:line="400" w:lineRule="exact"/>
        <w:ind w:left="1276" w:hanging="688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經三位口試委員審查通過之學生論文三份</w:t>
      </w:r>
      <w:r w:rsidRPr="007345CA">
        <w:rPr>
          <w:rFonts w:hAnsi="Calibri"/>
          <w:color w:val="auto"/>
          <w:sz w:val="28"/>
          <w:szCs w:val="28"/>
        </w:rPr>
        <w:t>(</w:t>
      </w:r>
      <w:r w:rsidRPr="007345CA">
        <w:rPr>
          <w:rFonts w:hAnsi="Calibri" w:hint="eastAsia"/>
          <w:color w:val="auto"/>
          <w:sz w:val="28"/>
          <w:szCs w:val="28"/>
        </w:rPr>
        <w:t>含電子檔及口試委員會審定書</w:t>
      </w:r>
      <w:r w:rsidRPr="007345CA">
        <w:rPr>
          <w:rFonts w:hAnsi="Calibri"/>
          <w:color w:val="auto"/>
          <w:sz w:val="28"/>
          <w:szCs w:val="28"/>
        </w:rPr>
        <w:t>)</w:t>
      </w:r>
      <w:r w:rsidRPr="007345CA">
        <w:rPr>
          <w:rFonts w:hAnsi="Calibri" w:hint="eastAsia"/>
          <w:color w:val="auto"/>
          <w:sz w:val="28"/>
          <w:szCs w:val="28"/>
        </w:rPr>
        <w:t>。</w:t>
      </w:r>
    </w:p>
    <w:p w:rsidR="00760832" w:rsidRPr="007345CA" w:rsidRDefault="00760832" w:rsidP="0052561D">
      <w:pPr>
        <w:pStyle w:val="Default"/>
        <w:numPr>
          <w:ilvl w:val="0"/>
          <w:numId w:val="5"/>
        </w:numPr>
        <w:spacing w:line="400" w:lineRule="exact"/>
        <w:ind w:left="1276" w:hanging="688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學生論文指導老師推薦書</w:t>
      </w:r>
      <w:r w:rsidRPr="007345CA">
        <w:rPr>
          <w:rFonts w:hAnsi="Calibri"/>
          <w:color w:val="auto"/>
          <w:sz w:val="28"/>
          <w:szCs w:val="28"/>
        </w:rPr>
        <w:t>(</w:t>
      </w:r>
      <w:r w:rsidRPr="007345CA">
        <w:rPr>
          <w:rFonts w:hAnsi="Calibri" w:hint="eastAsia"/>
          <w:color w:val="auto"/>
          <w:sz w:val="28"/>
          <w:szCs w:val="28"/>
        </w:rPr>
        <w:t>不限格式</w:t>
      </w:r>
      <w:r w:rsidRPr="007345CA">
        <w:rPr>
          <w:rFonts w:hAnsi="Calibri"/>
          <w:color w:val="auto"/>
          <w:sz w:val="28"/>
          <w:szCs w:val="28"/>
        </w:rPr>
        <w:t>)</w:t>
      </w:r>
      <w:r w:rsidRPr="007345CA">
        <w:rPr>
          <w:rFonts w:hAnsi="Calibri" w:hint="eastAsia"/>
          <w:color w:val="auto"/>
          <w:sz w:val="28"/>
          <w:szCs w:val="28"/>
        </w:rPr>
        <w:t>。</w:t>
      </w: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五、評審程序：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760832" w:rsidRPr="007345CA" w:rsidRDefault="00760832" w:rsidP="0052561D">
      <w:pPr>
        <w:pStyle w:val="Default"/>
        <w:numPr>
          <w:ilvl w:val="0"/>
          <w:numId w:val="6"/>
        </w:numPr>
        <w:spacing w:line="400" w:lineRule="exact"/>
        <w:ind w:left="1288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第一階段由各學系從符合申請資格者之論文中，選出</w:t>
      </w:r>
      <w:r w:rsidRPr="007345CA">
        <w:rPr>
          <w:rFonts w:hAnsi="Calibri"/>
          <w:color w:val="auto"/>
          <w:sz w:val="28"/>
          <w:szCs w:val="28"/>
        </w:rPr>
        <w:t>20%</w:t>
      </w:r>
      <w:r w:rsidRPr="007345CA">
        <w:rPr>
          <w:rFonts w:hAnsi="Calibri" w:hint="eastAsia"/>
          <w:color w:val="auto"/>
          <w:sz w:val="28"/>
          <w:szCs w:val="28"/>
        </w:rPr>
        <w:t>為論文獎之推薦名單，惟經計算不足</w:t>
      </w:r>
      <w:r w:rsidRPr="007345CA">
        <w:rPr>
          <w:rFonts w:hAnsi="Calibri"/>
          <w:color w:val="auto"/>
          <w:sz w:val="28"/>
          <w:szCs w:val="28"/>
        </w:rPr>
        <w:t>2</w:t>
      </w:r>
      <w:r w:rsidRPr="007345CA">
        <w:rPr>
          <w:rFonts w:hAnsi="Calibri" w:hint="eastAsia"/>
          <w:color w:val="auto"/>
          <w:sz w:val="28"/>
          <w:szCs w:val="28"/>
        </w:rPr>
        <w:t>人時，得選出至多</w:t>
      </w:r>
      <w:r w:rsidRPr="007345CA">
        <w:rPr>
          <w:rFonts w:hAnsi="Calibri"/>
          <w:color w:val="auto"/>
          <w:sz w:val="28"/>
          <w:szCs w:val="28"/>
        </w:rPr>
        <w:t>2</w:t>
      </w:r>
      <w:r w:rsidRPr="007345CA">
        <w:rPr>
          <w:rFonts w:hAnsi="Calibri" w:hint="eastAsia"/>
          <w:color w:val="auto"/>
          <w:sz w:val="28"/>
          <w:szCs w:val="28"/>
        </w:rPr>
        <w:t>名為論文獎之推薦名單，排序送交所屬學院進行第二階段參選。</w:t>
      </w:r>
    </w:p>
    <w:p w:rsidR="00760832" w:rsidRPr="00C67A42" w:rsidRDefault="00760832" w:rsidP="00C67A42">
      <w:pPr>
        <w:pStyle w:val="Default"/>
        <w:numPr>
          <w:ilvl w:val="0"/>
          <w:numId w:val="6"/>
        </w:numPr>
        <w:spacing w:line="400" w:lineRule="exact"/>
        <w:ind w:left="1288"/>
        <w:jc w:val="both"/>
        <w:rPr>
          <w:rFonts w:hAnsi="Calibri" w:hint="eastAsia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第二階段由本學院就所屬學系之推薦名單進行評審並予排名，且得推薦</w:t>
      </w:r>
      <w:r w:rsidRPr="007345CA">
        <w:rPr>
          <w:rFonts w:hAnsi="Calibri"/>
          <w:color w:val="auto"/>
          <w:sz w:val="28"/>
          <w:szCs w:val="28"/>
        </w:rPr>
        <w:t>1</w:t>
      </w:r>
      <w:r w:rsidRPr="007345CA">
        <w:rPr>
          <w:rFonts w:hAnsi="Calibri" w:hint="eastAsia"/>
          <w:color w:val="auto"/>
          <w:sz w:val="28"/>
          <w:szCs w:val="28"/>
        </w:rPr>
        <w:t>名參選校方傅斯年獎，其餘擇優頒予院長獎或優良獎若干名</w:t>
      </w:r>
      <w:r w:rsidRPr="0052561D">
        <w:rPr>
          <w:rFonts w:hAnsi="Calibri" w:hint="eastAsia"/>
          <w:color w:val="auto"/>
          <w:sz w:val="28"/>
          <w:szCs w:val="28"/>
        </w:rPr>
        <w:t>。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C95445" w:rsidRPr="007345CA" w:rsidRDefault="00C95445" w:rsidP="00760832">
      <w:pPr>
        <w:pStyle w:val="Default"/>
        <w:spacing w:line="400" w:lineRule="exact"/>
        <w:ind w:left="864"/>
        <w:jc w:val="both"/>
        <w:rPr>
          <w:rFonts w:hAnsi="Times New Roman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 w:rsidRPr="007345CA">
        <w:rPr>
          <w:rFonts w:hAnsi="Calibri" w:hint="eastAsia"/>
          <w:color w:val="auto"/>
          <w:sz w:val="28"/>
          <w:szCs w:val="28"/>
        </w:rPr>
        <w:t>六、</w:t>
      </w:r>
      <w:r w:rsidRPr="007345CA">
        <w:rPr>
          <w:rFonts w:hAnsi="Calibri" w:hint="eastAsia"/>
          <w:color w:val="auto"/>
          <w:sz w:val="28"/>
          <w:szCs w:val="28"/>
          <w:u w:val="single"/>
          <w:lang w:eastAsia="zh-HK"/>
        </w:rPr>
        <w:t>本院</w:t>
      </w:r>
      <w:r w:rsidRPr="007345CA">
        <w:rPr>
          <w:rFonts w:hAnsi="Calibri" w:hint="eastAsia"/>
          <w:color w:val="auto"/>
          <w:sz w:val="28"/>
          <w:szCs w:val="28"/>
        </w:rPr>
        <w:t>評審</w:t>
      </w:r>
      <w:r w:rsidR="00AE3827" w:rsidRPr="007345CA">
        <w:rPr>
          <w:rFonts w:hAnsi="Calibri" w:hint="eastAsia"/>
          <w:color w:val="auto"/>
          <w:sz w:val="28"/>
          <w:szCs w:val="28"/>
          <w:lang w:eastAsia="zh-HK"/>
        </w:rPr>
        <w:t>委員會</w:t>
      </w:r>
      <w:r w:rsidRPr="007345CA">
        <w:rPr>
          <w:rFonts w:hAnsi="Calibri" w:hint="eastAsia"/>
          <w:color w:val="auto"/>
          <w:sz w:val="28"/>
          <w:szCs w:val="28"/>
        </w:rPr>
        <w:t>設置及審查原則：</w:t>
      </w:r>
      <w:r w:rsidRPr="007345CA">
        <w:rPr>
          <w:rFonts w:hAnsi="Calibri"/>
          <w:color w:val="auto"/>
          <w:sz w:val="28"/>
          <w:szCs w:val="28"/>
        </w:rPr>
        <w:t xml:space="preserve"> </w:t>
      </w:r>
    </w:p>
    <w:p w:rsidR="00852B37" w:rsidRPr="00C95445" w:rsidRDefault="00852B37" w:rsidP="00C95445">
      <w:pPr>
        <w:pStyle w:val="Default"/>
        <w:numPr>
          <w:ilvl w:val="0"/>
          <w:numId w:val="7"/>
        </w:numPr>
        <w:spacing w:line="400" w:lineRule="exact"/>
        <w:ind w:left="1274" w:hanging="742"/>
        <w:jc w:val="both"/>
        <w:rPr>
          <w:rFonts w:hAnsi="Calibri"/>
          <w:color w:val="auto"/>
          <w:sz w:val="28"/>
          <w:szCs w:val="28"/>
          <w:u w:val="single"/>
        </w:rPr>
      </w:pPr>
      <w:r w:rsidRPr="00C95445">
        <w:rPr>
          <w:rFonts w:hAnsi="Calibri" w:hint="eastAsia"/>
          <w:color w:val="auto"/>
          <w:sz w:val="28"/>
          <w:szCs w:val="28"/>
          <w:u w:val="single"/>
        </w:rPr>
        <w:t>各學系所推薦之候選名單，由院長召集</w:t>
      </w:r>
      <w:r w:rsidR="00635F26" w:rsidRPr="00C95445">
        <w:rPr>
          <w:rFonts w:hAnsi="Calibri" w:hint="eastAsia"/>
          <w:color w:val="auto"/>
          <w:sz w:val="28"/>
          <w:szCs w:val="28"/>
          <w:u w:val="single"/>
        </w:rPr>
        <w:t>本院各系所</w:t>
      </w:r>
      <w:r w:rsidRPr="00C95445">
        <w:rPr>
          <w:rFonts w:hAnsi="Calibri" w:hint="eastAsia"/>
          <w:color w:val="auto"/>
          <w:sz w:val="28"/>
          <w:szCs w:val="28"/>
          <w:u w:val="single"/>
        </w:rPr>
        <w:t>主管組成之「院學士班學生論文奬評審委員會」(以下簡稱「院評審委員會」)於主管會議中進行評審。</w:t>
      </w:r>
      <w:r w:rsidRPr="00C95445">
        <w:rPr>
          <w:rFonts w:hAnsi="Calibri"/>
          <w:color w:val="auto"/>
          <w:sz w:val="28"/>
          <w:szCs w:val="28"/>
          <w:u w:val="single"/>
        </w:rPr>
        <w:t xml:space="preserve"> </w:t>
      </w:r>
    </w:p>
    <w:p w:rsidR="00D726EA" w:rsidRPr="00C95445" w:rsidRDefault="00760832" w:rsidP="00C95445">
      <w:pPr>
        <w:pStyle w:val="Default"/>
        <w:numPr>
          <w:ilvl w:val="0"/>
          <w:numId w:val="7"/>
        </w:numPr>
        <w:spacing w:line="400" w:lineRule="exact"/>
        <w:ind w:left="1274" w:hanging="742"/>
        <w:jc w:val="both"/>
        <w:rPr>
          <w:rFonts w:hAnsi="Calibri"/>
          <w:color w:val="auto"/>
          <w:sz w:val="28"/>
          <w:szCs w:val="28"/>
          <w:u w:val="single"/>
        </w:rPr>
      </w:pPr>
      <w:r w:rsidRPr="00C95445">
        <w:rPr>
          <w:rFonts w:hAnsi="Calibri" w:hint="eastAsia"/>
          <w:color w:val="auto"/>
          <w:sz w:val="28"/>
          <w:szCs w:val="28"/>
          <w:u w:val="single"/>
        </w:rPr>
        <w:t>院評審委員會，</w:t>
      </w:r>
      <w:r w:rsidR="00852B37" w:rsidRPr="00C95445">
        <w:rPr>
          <w:rFonts w:hAnsi="Calibri" w:hint="eastAsia"/>
          <w:color w:val="auto"/>
          <w:sz w:val="28"/>
          <w:szCs w:val="28"/>
          <w:u w:val="single"/>
        </w:rPr>
        <w:t>應</w:t>
      </w:r>
      <w:r w:rsidRPr="00C95445">
        <w:rPr>
          <w:rFonts w:hAnsi="Calibri" w:hint="eastAsia"/>
          <w:color w:val="auto"/>
          <w:sz w:val="28"/>
          <w:szCs w:val="28"/>
          <w:u w:val="single"/>
        </w:rPr>
        <w:t>就所屬各學系之推薦名單</w:t>
      </w:r>
      <w:r w:rsidR="00D726EA" w:rsidRPr="00C95445">
        <w:rPr>
          <w:rFonts w:hAnsi="Calibri" w:hint="eastAsia"/>
          <w:color w:val="auto"/>
          <w:sz w:val="28"/>
          <w:szCs w:val="28"/>
          <w:u w:val="single"/>
        </w:rPr>
        <w:t>及申請資料</w:t>
      </w:r>
      <w:r w:rsidRPr="00C95445">
        <w:rPr>
          <w:rFonts w:hAnsi="Calibri" w:hint="eastAsia"/>
          <w:color w:val="auto"/>
          <w:sz w:val="28"/>
          <w:szCs w:val="28"/>
          <w:u w:val="single"/>
        </w:rPr>
        <w:t>進行評審，</w:t>
      </w:r>
      <w:r w:rsidR="00C67A42">
        <w:rPr>
          <w:rFonts w:hAnsi="Calibri" w:hint="eastAsia"/>
          <w:color w:val="auto"/>
          <w:sz w:val="28"/>
          <w:szCs w:val="28"/>
          <w:u w:val="single"/>
          <w:lang w:eastAsia="zh-HK"/>
        </w:rPr>
        <w:t>必要時得邀請申請者進行公開演講</w:t>
      </w:r>
      <w:r w:rsidR="00C67A42">
        <w:rPr>
          <w:rFonts w:hAnsi="Calibri" w:hint="eastAsia"/>
          <w:color w:val="auto"/>
          <w:sz w:val="28"/>
          <w:szCs w:val="28"/>
          <w:u w:val="single"/>
        </w:rPr>
        <w:t>，</w:t>
      </w:r>
      <w:r w:rsidR="00D726EA" w:rsidRPr="00C95445">
        <w:rPr>
          <w:rFonts w:hAnsi="Calibri" w:hint="eastAsia"/>
          <w:color w:val="auto"/>
          <w:sz w:val="28"/>
          <w:szCs w:val="28"/>
          <w:u w:val="single"/>
        </w:rPr>
        <w:t>審定院長獎及優良獎若干名，並自院長獎中推薦</w:t>
      </w:r>
      <w:r w:rsidR="00D726EA" w:rsidRPr="00C95445">
        <w:rPr>
          <w:rFonts w:hAnsi="Calibri"/>
          <w:color w:val="auto"/>
          <w:sz w:val="28"/>
          <w:szCs w:val="28"/>
          <w:u w:val="single"/>
        </w:rPr>
        <w:t>1</w:t>
      </w:r>
      <w:r w:rsidR="00D726EA" w:rsidRPr="00C95445">
        <w:rPr>
          <w:rFonts w:hAnsi="Calibri" w:hint="eastAsia"/>
          <w:color w:val="auto"/>
          <w:sz w:val="28"/>
          <w:szCs w:val="28"/>
          <w:u w:val="single"/>
        </w:rPr>
        <w:t>名參選校方傅斯年獎。</w:t>
      </w:r>
    </w:p>
    <w:p w:rsidR="00852B37" w:rsidRPr="00C67A42" w:rsidRDefault="00852B37" w:rsidP="00852B37">
      <w:pPr>
        <w:pStyle w:val="Default"/>
        <w:spacing w:line="400" w:lineRule="exact"/>
        <w:ind w:left="864"/>
        <w:jc w:val="both"/>
        <w:rPr>
          <w:rFonts w:hAnsi="Times New Roman"/>
          <w:color w:val="auto"/>
          <w:sz w:val="28"/>
          <w:szCs w:val="28"/>
        </w:rPr>
      </w:pPr>
    </w:p>
    <w:p w:rsidR="00760832" w:rsidRPr="007345CA" w:rsidRDefault="003C6022" w:rsidP="00A92C88">
      <w:pPr>
        <w:pStyle w:val="Default"/>
        <w:spacing w:line="400" w:lineRule="exact"/>
        <w:ind w:left="518" w:hangingChars="185" w:hanging="518"/>
        <w:jc w:val="both"/>
        <w:rPr>
          <w:rFonts w:hAnsi="Calibri"/>
          <w:color w:val="auto"/>
          <w:sz w:val="28"/>
          <w:szCs w:val="28"/>
        </w:rPr>
      </w:pPr>
      <w:r>
        <w:rPr>
          <w:rFonts w:hAnsi="Calibri" w:hint="eastAsia"/>
          <w:color w:val="auto"/>
          <w:sz w:val="28"/>
          <w:szCs w:val="28"/>
          <w:lang w:eastAsia="zh-HK"/>
        </w:rPr>
        <w:t>七</w:t>
      </w:r>
      <w:r w:rsidR="00760832" w:rsidRPr="007345CA">
        <w:rPr>
          <w:rFonts w:hAnsi="Calibri" w:hint="eastAsia"/>
          <w:color w:val="auto"/>
          <w:sz w:val="28"/>
          <w:szCs w:val="28"/>
        </w:rPr>
        <w:t>、得獎論文涉有違反學術倫理情事者</w:t>
      </w:r>
      <w:r w:rsidR="00C67A42">
        <w:rPr>
          <w:rFonts w:hAnsi="標楷體" w:hint="eastAsia"/>
          <w:color w:val="auto"/>
          <w:sz w:val="28"/>
          <w:szCs w:val="28"/>
        </w:rPr>
        <w:t>，</w:t>
      </w:r>
      <w:r w:rsidR="00760832" w:rsidRPr="007345CA">
        <w:rPr>
          <w:rFonts w:hAnsi="Calibri" w:hint="eastAsia"/>
          <w:color w:val="auto"/>
          <w:sz w:val="28"/>
          <w:szCs w:val="28"/>
        </w:rPr>
        <w:t>得參照本校「博、碩士學位論文違反學術倫理案件處理要點」規定辦理。</w:t>
      </w:r>
      <w:r w:rsidR="00760832" w:rsidRPr="007345CA">
        <w:rPr>
          <w:rFonts w:hAnsi="Calibri"/>
          <w:color w:val="auto"/>
          <w:sz w:val="28"/>
          <w:szCs w:val="28"/>
        </w:rPr>
        <w:t xml:space="preserve"> </w:t>
      </w:r>
    </w:p>
    <w:p w:rsidR="00A92C88" w:rsidRPr="007345CA" w:rsidRDefault="00A92C88" w:rsidP="00852B37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3C6022" w:rsidP="00852B37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  <w:r>
        <w:rPr>
          <w:rFonts w:hAnsi="Calibri" w:hint="eastAsia"/>
          <w:color w:val="auto"/>
          <w:sz w:val="28"/>
          <w:szCs w:val="28"/>
          <w:lang w:eastAsia="zh-HK"/>
        </w:rPr>
        <w:t>八</w:t>
      </w:r>
      <w:bookmarkStart w:id="0" w:name="_GoBack"/>
      <w:bookmarkEnd w:id="0"/>
      <w:r w:rsidR="00760832" w:rsidRPr="007345CA">
        <w:rPr>
          <w:rFonts w:hAnsi="Calibri" w:hint="eastAsia"/>
          <w:color w:val="auto"/>
          <w:sz w:val="28"/>
          <w:szCs w:val="28"/>
        </w:rPr>
        <w:t>、本要點經</w:t>
      </w:r>
      <w:r w:rsidR="00A92C88" w:rsidRPr="007345CA">
        <w:rPr>
          <w:rFonts w:hAnsi="Calibri" w:hint="eastAsia"/>
          <w:color w:val="auto"/>
          <w:sz w:val="28"/>
          <w:szCs w:val="28"/>
          <w:u w:val="single"/>
          <w:lang w:eastAsia="zh-HK"/>
        </w:rPr>
        <w:t>院</w:t>
      </w:r>
      <w:r w:rsidR="00760832" w:rsidRPr="007345CA">
        <w:rPr>
          <w:rFonts w:hAnsi="Calibri" w:hint="eastAsia"/>
          <w:color w:val="auto"/>
          <w:sz w:val="28"/>
          <w:szCs w:val="28"/>
        </w:rPr>
        <w:t>務會議通過後，自發布日施行。</w:t>
      </w: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p w:rsidR="00760832" w:rsidRPr="007345CA" w:rsidRDefault="00760832" w:rsidP="00760832">
      <w:pPr>
        <w:pStyle w:val="Default"/>
        <w:spacing w:line="400" w:lineRule="exact"/>
        <w:jc w:val="both"/>
        <w:rPr>
          <w:rFonts w:hAnsi="Calibri"/>
          <w:color w:val="auto"/>
          <w:sz w:val="28"/>
          <w:szCs w:val="28"/>
        </w:rPr>
      </w:pPr>
    </w:p>
    <w:sectPr w:rsidR="00760832" w:rsidRPr="007345CA" w:rsidSect="00F926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80" w:rsidRDefault="00D85680" w:rsidP="007C201C">
      <w:r>
        <w:separator/>
      </w:r>
    </w:p>
  </w:endnote>
  <w:endnote w:type="continuationSeparator" w:id="0">
    <w:p w:rsidR="00D85680" w:rsidRDefault="00D85680" w:rsidP="007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80" w:rsidRDefault="00D85680" w:rsidP="007C201C">
      <w:r>
        <w:separator/>
      </w:r>
    </w:p>
  </w:footnote>
  <w:footnote w:type="continuationSeparator" w:id="0">
    <w:p w:rsidR="00D85680" w:rsidRDefault="00D85680" w:rsidP="007C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799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86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0743BD3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86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4B40162A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86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4DD769B3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86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 w15:restartNumberingAfterBreak="0">
    <w:nsid w:val="51782097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483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5D61268C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86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" w15:restartNumberingAfterBreak="0">
    <w:nsid w:val="77426879"/>
    <w:multiLevelType w:val="hybridMultilevel"/>
    <w:tmpl w:val="D82A5F80"/>
    <w:lvl w:ilvl="0" w:tplc="921E3404">
      <w:start w:val="1"/>
      <w:numFmt w:val="taiwaneseCountingThousand"/>
      <w:lvlText w:val="(%1)"/>
      <w:lvlJc w:val="left"/>
      <w:pPr>
        <w:ind w:left="86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97"/>
    <w:rsid w:val="000B4617"/>
    <w:rsid w:val="001C3696"/>
    <w:rsid w:val="00247DFC"/>
    <w:rsid w:val="003C6022"/>
    <w:rsid w:val="00476997"/>
    <w:rsid w:val="0052561D"/>
    <w:rsid w:val="00635F26"/>
    <w:rsid w:val="007345CA"/>
    <w:rsid w:val="00760832"/>
    <w:rsid w:val="007C201C"/>
    <w:rsid w:val="00852B37"/>
    <w:rsid w:val="009538C1"/>
    <w:rsid w:val="009A53DF"/>
    <w:rsid w:val="009C10F1"/>
    <w:rsid w:val="00A92C88"/>
    <w:rsid w:val="00AE3827"/>
    <w:rsid w:val="00C67A42"/>
    <w:rsid w:val="00C95445"/>
    <w:rsid w:val="00D52C74"/>
    <w:rsid w:val="00D53D72"/>
    <w:rsid w:val="00D726EA"/>
    <w:rsid w:val="00D85680"/>
    <w:rsid w:val="00E031C4"/>
    <w:rsid w:val="00EA3A46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1D9A9"/>
  <w15:chartTrackingRefBased/>
  <w15:docId w15:val="{2E932B80-C81E-4461-B488-B839B2E2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9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0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2019-05-09T01:42:00Z</dcterms:created>
  <dcterms:modified xsi:type="dcterms:W3CDTF">2019-05-09T06:23:00Z</dcterms:modified>
</cp:coreProperties>
</file>