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3F4FD" w14:textId="41CD8913" w:rsidR="00335105" w:rsidRDefault="005D0ED5" w:rsidP="00335105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國立</w:t>
      </w:r>
      <w:r w:rsidR="00CB33F8">
        <w:rPr>
          <w:rFonts w:ascii="標楷體" w:eastAsia="標楷體" w:hAnsi="標楷體" w:hint="eastAsia"/>
          <w:b/>
          <w:sz w:val="36"/>
          <w:szCs w:val="36"/>
        </w:rPr>
        <w:t>臺</w:t>
      </w:r>
      <w:r w:rsidR="00335105" w:rsidRPr="00335105">
        <w:rPr>
          <w:rFonts w:ascii="標楷體" w:eastAsia="標楷體" w:hAnsi="標楷體" w:hint="eastAsia"/>
          <w:b/>
          <w:sz w:val="36"/>
          <w:szCs w:val="36"/>
        </w:rPr>
        <w:t>灣大學</w:t>
      </w:r>
      <w:r>
        <w:rPr>
          <w:rFonts w:ascii="標楷體" w:eastAsia="標楷體" w:hAnsi="標楷體" w:hint="eastAsia"/>
          <w:b/>
          <w:sz w:val="36"/>
          <w:szCs w:val="36"/>
        </w:rPr>
        <w:t>醫學院</w:t>
      </w:r>
      <w:r w:rsidR="00335105" w:rsidRPr="00335105">
        <w:rPr>
          <w:rFonts w:ascii="標楷體" w:eastAsia="標楷體" w:hAnsi="標楷體" w:hint="eastAsia"/>
          <w:b/>
          <w:sz w:val="36"/>
          <w:szCs w:val="36"/>
        </w:rPr>
        <w:t>藥學</w:t>
      </w:r>
      <w:r>
        <w:rPr>
          <w:rFonts w:ascii="標楷體" w:eastAsia="標楷體" w:hAnsi="標楷體" w:hint="eastAsia"/>
          <w:b/>
          <w:sz w:val="36"/>
          <w:szCs w:val="36"/>
        </w:rPr>
        <w:t>系</w:t>
      </w:r>
    </w:p>
    <w:p w14:paraId="5AC4808F" w14:textId="77777777" w:rsidR="008B4857" w:rsidRDefault="00335105" w:rsidP="00335105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 w:rsidRPr="00335105">
        <w:rPr>
          <w:rFonts w:ascii="標楷體" w:eastAsia="標楷體" w:hAnsi="標楷體" w:hint="eastAsia"/>
          <w:b/>
          <w:sz w:val="36"/>
          <w:szCs w:val="36"/>
        </w:rPr>
        <w:t>『藥物</w:t>
      </w:r>
      <w:proofErr w:type="gramStart"/>
      <w:r w:rsidRPr="00335105">
        <w:rPr>
          <w:rFonts w:ascii="標楷體" w:eastAsia="標楷體" w:hAnsi="標楷體" w:hint="eastAsia"/>
          <w:b/>
          <w:sz w:val="36"/>
          <w:szCs w:val="36"/>
        </w:rPr>
        <w:t>不純物</w:t>
      </w:r>
      <w:proofErr w:type="gramEnd"/>
      <w:r w:rsidRPr="00335105">
        <w:rPr>
          <w:rFonts w:ascii="標楷體" w:eastAsia="標楷體" w:hAnsi="標楷體" w:hint="eastAsia"/>
          <w:b/>
          <w:sz w:val="36"/>
          <w:szCs w:val="36"/>
        </w:rPr>
        <w:t>/</w:t>
      </w:r>
      <w:proofErr w:type="gramStart"/>
      <w:r w:rsidRPr="00335105">
        <w:rPr>
          <w:rFonts w:ascii="標楷體" w:eastAsia="標楷體" w:hAnsi="標楷體" w:hint="eastAsia"/>
          <w:b/>
          <w:sz w:val="36"/>
          <w:szCs w:val="36"/>
        </w:rPr>
        <w:t>代謝物暨中</w:t>
      </w:r>
      <w:proofErr w:type="gramEnd"/>
      <w:r w:rsidRPr="00335105">
        <w:rPr>
          <w:rFonts w:ascii="標楷體" w:eastAsia="標楷體" w:hAnsi="標楷體" w:hint="eastAsia"/>
          <w:b/>
          <w:sz w:val="36"/>
          <w:szCs w:val="36"/>
        </w:rPr>
        <w:t>草藥成分結構鑑定』</w:t>
      </w:r>
    </w:p>
    <w:p w14:paraId="5D1A56BD" w14:textId="35EBDC01" w:rsidR="00335105" w:rsidRDefault="005D0ED5" w:rsidP="00335105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建教合作/產學聯盟計畫</w:t>
      </w:r>
      <w:r w:rsidR="008B4857">
        <w:rPr>
          <w:rFonts w:ascii="標楷體" w:eastAsia="標楷體" w:hAnsi="標楷體" w:hint="eastAsia"/>
          <w:b/>
          <w:sz w:val="36"/>
          <w:szCs w:val="36"/>
        </w:rPr>
        <w:t>書</w:t>
      </w:r>
    </w:p>
    <w:p w14:paraId="567E7FC7" w14:textId="77777777" w:rsidR="00AE2467" w:rsidRDefault="004625FB" w:rsidP="00335105">
      <w:pPr>
        <w:widowControl/>
        <w:rPr>
          <w:rFonts w:ascii="標楷體" w:eastAsia="標楷體" w:hAnsi="標楷體"/>
          <w:b/>
        </w:rPr>
      </w:pPr>
      <w:r w:rsidRPr="0022039A">
        <w:rPr>
          <w:rFonts w:ascii="標楷體" w:eastAsia="標楷體" w:hAnsi="標楷體" w:hint="eastAsia"/>
          <w:b/>
        </w:rPr>
        <w:t>主旨</w:t>
      </w:r>
      <w:r w:rsidR="0022039A" w:rsidRPr="0022039A">
        <w:rPr>
          <w:rFonts w:ascii="標楷體" w:eastAsia="標楷體" w:hAnsi="標楷體" w:hint="eastAsia"/>
          <w:b/>
        </w:rPr>
        <w:t>：</w:t>
      </w:r>
    </w:p>
    <w:p w14:paraId="4DF8DD71" w14:textId="77777777" w:rsidR="00BD03FE" w:rsidRPr="0022039A" w:rsidRDefault="00AE2467" w:rsidP="00AE2467">
      <w:pPr>
        <w:widowControl/>
        <w:ind w:firstLine="480"/>
        <w:rPr>
          <w:rFonts w:ascii="標楷體" w:eastAsia="標楷體" w:hAnsi="標楷體"/>
          <w:b/>
        </w:rPr>
      </w:pPr>
      <w:r w:rsidRPr="0022039A">
        <w:rPr>
          <w:rFonts w:ascii="標楷體" w:eastAsia="標楷體" w:hAnsi="標楷體" w:hint="eastAsia"/>
          <w:szCs w:val="24"/>
        </w:rPr>
        <w:t>鑑於過往學術研究成果與業界之間的落差，且國內產業界以中小企業為多，亟需研發能量挹注，透過</w:t>
      </w:r>
      <w:r w:rsidR="00CB33F8">
        <w:rPr>
          <w:rFonts w:ascii="標楷體" w:eastAsia="標楷體" w:hAnsi="標楷體" w:hint="eastAsia"/>
          <w:szCs w:val="24"/>
        </w:rPr>
        <w:t>臺</w:t>
      </w:r>
      <w:r w:rsidR="0088235F" w:rsidRPr="0088235F">
        <w:rPr>
          <w:rFonts w:ascii="標楷體" w:eastAsia="標楷體" w:hAnsi="標楷體" w:hint="eastAsia"/>
          <w:szCs w:val="24"/>
        </w:rPr>
        <w:t>灣大學藥學專業學院創新藥物研究中心</w:t>
      </w:r>
      <w:r w:rsidRPr="00AE2467">
        <w:rPr>
          <w:rFonts w:ascii="標楷體" w:eastAsia="標楷體" w:hAnsi="標楷體" w:hint="eastAsia"/>
          <w:szCs w:val="24"/>
        </w:rPr>
        <w:t>核心設施服務</w:t>
      </w:r>
      <w:r w:rsidRPr="0022039A">
        <w:rPr>
          <w:rFonts w:ascii="標楷體" w:eastAsia="標楷體" w:hAnsi="標楷體" w:hint="eastAsia"/>
          <w:szCs w:val="24"/>
        </w:rPr>
        <w:t>以過去研發之成</w:t>
      </w:r>
      <w:r>
        <w:rPr>
          <w:rFonts w:ascii="標楷體" w:eastAsia="標楷體" w:hAnsi="標楷體" w:hint="eastAsia"/>
          <w:szCs w:val="24"/>
        </w:rPr>
        <w:t>熟技術</w:t>
      </w:r>
      <w:r w:rsidRPr="0022039A">
        <w:rPr>
          <w:rFonts w:ascii="標楷體" w:eastAsia="標楷體" w:hAnsi="標楷體" w:hint="eastAsia"/>
          <w:szCs w:val="24"/>
        </w:rPr>
        <w:t>，協助與服務產業界為目標，有效落實產學之間互動，提昇業界競爭能力</w:t>
      </w:r>
      <w:r>
        <w:rPr>
          <w:rFonts w:ascii="標楷體" w:eastAsia="標楷體" w:hAnsi="標楷體" w:hint="eastAsia"/>
          <w:szCs w:val="24"/>
        </w:rPr>
        <w:t>。</w:t>
      </w:r>
    </w:p>
    <w:p w14:paraId="5F542452" w14:textId="77777777" w:rsidR="00180C25" w:rsidRPr="0022039A" w:rsidRDefault="004625FB" w:rsidP="00C41CA7">
      <w:pPr>
        <w:pStyle w:val="a9"/>
        <w:widowControl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22039A">
        <w:rPr>
          <w:rFonts w:ascii="標楷體" w:eastAsia="標楷體" w:hAnsi="標楷體" w:hint="eastAsia"/>
        </w:rPr>
        <w:t>以</w:t>
      </w:r>
      <w:r w:rsidR="00180C25" w:rsidRPr="0022039A">
        <w:rPr>
          <w:rFonts w:ascii="標楷體" w:eastAsia="標楷體" w:hAnsi="標楷體" w:hint="eastAsia"/>
        </w:rPr>
        <w:t>業界委託測試案件為優先，提供高解析液相質譜及核磁共振光譜之測試，並協助</w:t>
      </w:r>
      <w:r w:rsidR="00C41CA7" w:rsidRPr="00C41CA7">
        <w:rPr>
          <w:rFonts w:ascii="標楷體" w:eastAsia="標楷體" w:hAnsi="標楷體" w:hint="eastAsia"/>
        </w:rPr>
        <w:t>業界</w:t>
      </w:r>
      <w:r w:rsidR="00180C25" w:rsidRPr="0022039A">
        <w:rPr>
          <w:rFonts w:ascii="標楷體" w:eastAsia="標楷體" w:hAnsi="標楷體" w:hint="eastAsia"/>
        </w:rPr>
        <w:t>對未知樣品之分子結構解析及鑑定。</w:t>
      </w:r>
    </w:p>
    <w:p w14:paraId="3A0249B0" w14:textId="382191CB" w:rsidR="00BD03FE" w:rsidRPr="0022039A" w:rsidRDefault="004625FB" w:rsidP="004625FB">
      <w:pPr>
        <w:pStyle w:val="a9"/>
        <w:widowControl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22039A">
        <w:rPr>
          <w:rFonts w:ascii="標楷體" w:eastAsia="標楷體" w:hAnsi="標楷體" w:hint="eastAsia"/>
        </w:rPr>
        <w:t>對</w:t>
      </w:r>
      <w:proofErr w:type="gramStart"/>
      <w:r w:rsidR="00AE2467" w:rsidRPr="0022039A">
        <w:rPr>
          <w:rFonts w:ascii="標楷體" w:eastAsia="標楷體" w:hAnsi="標楷體" w:hint="eastAsia"/>
        </w:rPr>
        <w:t>不純物</w:t>
      </w:r>
      <w:proofErr w:type="gramEnd"/>
      <w:r w:rsidR="00AE2467" w:rsidRPr="0022039A">
        <w:rPr>
          <w:rFonts w:ascii="標楷體" w:eastAsia="標楷體" w:hAnsi="標楷體" w:hint="eastAsia"/>
        </w:rPr>
        <w:t>、微量成份、</w:t>
      </w:r>
      <w:r w:rsidR="00BD03FE" w:rsidRPr="0022039A">
        <w:rPr>
          <w:rFonts w:ascii="標楷體" w:eastAsia="標楷體" w:hAnsi="標楷體" w:hint="eastAsia"/>
        </w:rPr>
        <w:t>未知成份等HPLC分析方法開發，結合LC-MS/ LC-CC-NMR，提供</w:t>
      </w:r>
      <w:r w:rsidR="00BD03FE" w:rsidRPr="0022039A">
        <w:rPr>
          <w:rFonts w:ascii="標楷體" w:eastAsia="標楷體" w:hAnsi="標楷體" w:cs="Arial"/>
          <w:color w:val="000000"/>
          <w:kern w:val="0"/>
          <w:szCs w:val="24"/>
        </w:rPr>
        <w:t>化學成份結構解析。</w:t>
      </w:r>
    </w:p>
    <w:p w14:paraId="04D1ADFF" w14:textId="77777777" w:rsidR="004625FB" w:rsidRPr="0022039A" w:rsidRDefault="004625FB" w:rsidP="0022039A">
      <w:pPr>
        <w:pStyle w:val="a9"/>
        <w:widowControl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22039A">
        <w:rPr>
          <w:rFonts w:ascii="標楷體" w:eastAsia="標楷體" w:hAnsi="標楷體" w:hint="eastAsia"/>
        </w:rPr>
        <w:t>微量成份定量實驗HPLC-MS分析方法開發，應用於藥物動力學、代謝物研究</w:t>
      </w:r>
      <w:r w:rsidR="0022039A" w:rsidRPr="0022039A">
        <w:rPr>
          <w:rFonts w:ascii="標楷體" w:eastAsia="標楷體" w:hAnsi="標楷體" w:hint="eastAsia"/>
        </w:rPr>
        <w:t>。</w:t>
      </w:r>
    </w:p>
    <w:p w14:paraId="7B0CC6EE" w14:textId="7AE2F4AE" w:rsidR="00180C25" w:rsidRPr="0022039A" w:rsidRDefault="00180C25" w:rsidP="00C41CA7">
      <w:pPr>
        <w:pStyle w:val="a9"/>
        <w:widowControl/>
        <w:numPr>
          <w:ilvl w:val="0"/>
          <w:numId w:val="2"/>
        </w:numPr>
        <w:ind w:leftChars="0"/>
        <w:rPr>
          <w:rFonts w:ascii="標楷體" w:eastAsia="標楷體" w:hAnsi="標楷體"/>
          <w:kern w:val="0"/>
          <w:szCs w:val="24"/>
          <w:shd w:val="clear" w:color="auto" w:fill="FFFFFF"/>
        </w:rPr>
      </w:pPr>
      <w:r w:rsidRPr="0022039A">
        <w:rPr>
          <w:rFonts w:ascii="標楷體" w:eastAsia="標楷體" w:hAnsi="標楷體" w:hint="eastAsia"/>
        </w:rPr>
        <w:t>中藥</w:t>
      </w:r>
      <w:proofErr w:type="gramStart"/>
      <w:r w:rsidRPr="0022039A">
        <w:rPr>
          <w:rFonts w:ascii="標楷體" w:eastAsia="標楷體" w:hAnsi="標楷體" w:hint="eastAsia"/>
        </w:rPr>
        <w:t>製劑層析</w:t>
      </w:r>
      <w:proofErr w:type="gramEnd"/>
      <w:r w:rsidRPr="0022039A">
        <w:rPr>
          <w:rFonts w:ascii="標楷體" w:eastAsia="標楷體" w:hAnsi="標楷體" w:hint="eastAsia"/>
        </w:rPr>
        <w:t>指紋成份鑑定</w:t>
      </w:r>
      <w:r w:rsidR="00BD03FE" w:rsidRPr="0022039A">
        <w:rPr>
          <w:rFonts w:ascii="標楷體" w:eastAsia="標楷體" w:hAnsi="標楷體" w:hint="eastAsia"/>
        </w:rPr>
        <w:t>：</w:t>
      </w:r>
      <w:r w:rsidR="00AE2467">
        <w:rPr>
          <w:rFonts w:ascii="標楷體" w:eastAsia="標楷體" w:hAnsi="標楷體" w:hint="eastAsia"/>
        </w:rPr>
        <w:t>將成份複雜的</w:t>
      </w:r>
      <w:r w:rsidR="00AE2467" w:rsidRPr="00AE2467">
        <w:rPr>
          <w:rFonts w:ascii="標楷體" w:eastAsia="標楷體" w:hAnsi="標楷體" w:hint="eastAsia"/>
        </w:rPr>
        <w:t>中藥製劑</w:t>
      </w:r>
      <w:r w:rsidR="00AE2467">
        <w:rPr>
          <w:rFonts w:ascii="標楷體" w:eastAsia="標楷體" w:hAnsi="標楷體" w:hint="eastAsia"/>
        </w:rPr>
        <w:t>，以</w:t>
      </w:r>
      <w:r w:rsidR="00AE2467" w:rsidRPr="00AE2467">
        <w:rPr>
          <w:rFonts w:ascii="標楷體" w:eastAsia="標楷體" w:hAnsi="標楷體" w:hint="eastAsia"/>
        </w:rPr>
        <w:t>HPLC分析方法</w:t>
      </w:r>
      <w:r w:rsidR="00AE2467">
        <w:rPr>
          <w:rFonts w:ascii="標楷體" w:eastAsia="標楷體" w:hAnsi="標楷體" w:hint="eastAsia"/>
        </w:rPr>
        <w:t>優化，</w:t>
      </w:r>
      <w:r w:rsidR="00AE2467" w:rsidRPr="00AE2467">
        <w:rPr>
          <w:rFonts w:ascii="標楷體" w:eastAsia="標楷體" w:hAnsi="標楷體" w:hint="eastAsia"/>
        </w:rPr>
        <w:t>結合LC-MS/ LC-CC-NMR</w:t>
      </w:r>
      <w:r w:rsidR="00AE2467">
        <w:rPr>
          <w:rFonts w:ascii="標楷體" w:eastAsia="標楷體" w:hAnsi="標楷體" w:hint="eastAsia"/>
        </w:rPr>
        <w:t>將</w:t>
      </w:r>
      <w:r w:rsidR="00AE2467" w:rsidRPr="00AE2467">
        <w:rPr>
          <w:rFonts w:ascii="標楷體" w:eastAsia="標楷體" w:hAnsi="標楷體" w:hint="eastAsia"/>
        </w:rPr>
        <w:t>成份鑑定</w:t>
      </w:r>
      <w:r w:rsidR="00AE2467">
        <w:rPr>
          <w:rFonts w:ascii="標楷體" w:eastAsia="標楷體" w:hAnsi="標楷體" w:hint="eastAsia"/>
        </w:rPr>
        <w:t>，以建立</w:t>
      </w:r>
      <w:r w:rsidR="00AE2467" w:rsidRPr="00AE2467">
        <w:rPr>
          <w:rFonts w:ascii="標楷體" w:eastAsia="標楷體" w:hAnsi="標楷體" w:hint="eastAsia"/>
        </w:rPr>
        <w:t>層析指紋</w:t>
      </w:r>
      <w:r w:rsidR="00AE2467">
        <w:rPr>
          <w:rFonts w:ascii="標楷體" w:eastAsia="標楷體" w:hAnsi="標楷體" w:hint="eastAsia"/>
        </w:rPr>
        <w:t>圖譜</w:t>
      </w:r>
      <w:r w:rsidR="00C41CA7" w:rsidRPr="00C41CA7">
        <w:rPr>
          <w:rFonts w:ascii="標楷體" w:eastAsia="標楷體" w:hAnsi="標楷體" w:hint="eastAsia"/>
        </w:rPr>
        <w:t>，</w:t>
      </w:r>
      <w:r w:rsidR="00C41CA7" w:rsidRPr="00C41CA7">
        <w:rPr>
          <w:rFonts w:ascii="標楷體" w:eastAsia="標楷體" w:hAnsi="標楷體" w:hint="eastAsia"/>
          <w:szCs w:val="24"/>
        </w:rPr>
        <w:t>解決中藥製劑成分鑑定的問題，除了可加強製劑品質管控，且可更加</w:t>
      </w:r>
      <w:proofErr w:type="gramStart"/>
      <w:r w:rsidR="00C41CA7" w:rsidRPr="00C41CA7">
        <w:rPr>
          <w:rFonts w:ascii="標楷體" w:eastAsia="標楷體" w:hAnsi="標楷體" w:hint="eastAsia"/>
          <w:szCs w:val="24"/>
        </w:rPr>
        <w:t>釐</w:t>
      </w:r>
      <w:proofErr w:type="gramEnd"/>
      <w:r w:rsidR="00C41CA7" w:rsidRPr="00C41CA7">
        <w:rPr>
          <w:rFonts w:ascii="標楷體" w:eastAsia="標楷體" w:hAnsi="標楷體" w:hint="eastAsia"/>
          <w:szCs w:val="24"/>
        </w:rPr>
        <w:t>清中藥製劑之效能，有利產品之推展</w:t>
      </w:r>
      <w:r w:rsidR="00BD03FE" w:rsidRPr="0022039A">
        <w:rPr>
          <w:rFonts w:ascii="標楷體" w:eastAsia="標楷體" w:hAnsi="標楷體" w:hint="eastAsia"/>
          <w:kern w:val="0"/>
          <w:szCs w:val="24"/>
          <w:shd w:val="clear" w:color="auto" w:fill="FFFFFF"/>
        </w:rPr>
        <w:t>。</w:t>
      </w:r>
    </w:p>
    <w:p w14:paraId="7A904024" w14:textId="77777777" w:rsidR="00180C25" w:rsidRPr="0022039A" w:rsidRDefault="00BD03FE">
      <w:pPr>
        <w:widowControl/>
        <w:rPr>
          <w:rFonts w:ascii="標楷體" w:eastAsia="標楷體" w:hAnsi="標楷體"/>
          <w:b/>
        </w:rPr>
      </w:pPr>
      <w:r w:rsidRPr="0022039A">
        <w:rPr>
          <w:rFonts w:ascii="標楷體" w:eastAsia="標楷體" w:hAnsi="標楷體" w:hint="eastAsia"/>
          <w:b/>
        </w:rPr>
        <w:t>會費</w:t>
      </w:r>
      <w:r w:rsidR="0022039A" w:rsidRPr="0022039A">
        <w:rPr>
          <w:rFonts w:ascii="標楷體" w:eastAsia="標楷體" w:hAnsi="標楷體" w:hint="eastAsia"/>
          <w:b/>
        </w:rPr>
        <w:t>：</w:t>
      </w:r>
    </w:p>
    <w:p w14:paraId="5CA7388F" w14:textId="77777777" w:rsidR="00F134EE" w:rsidRDefault="00180C25" w:rsidP="004625FB">
      <w:pPr>
        <w:pStyle w:val="a9"/>
        <w:widowControl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22039A">
        <w:rPr>
          <w:rFonts w:ascii="標楷體" w:eastAsia="標楷體" w:hAnsi="標楷體" w:hint="eastAsia"/>
        </w:rPr>
        <w:t>一般會費</w:t>
      </w:r>
      <w:r w:rsidR="00C41CA7">
        <w:rPr>
          <w:rFonts w:ascii="標楷體" w:eastAsia="標楷體" w:hAnsi="標楷體" w:hint="eastAsia"/>
        </w:rPr>
        <w:t>2</w:t>
      </w:r>
      <w:r w:rsidRPr="0022039A">
        <w:rPr>
          <w:rFonts w:ascii="標楷體" w:eastAsia="標楷體" w:hAnsi="標楷體" w:hint="eastAsia"/>
        </w:rPr>
        <w:t>0</w:t>
      </w:r>
      <w:r w:rsidR="00BD03FE" w:rsidRPr="0022039A">
        <w:rPr>
          <w:rFonts w:ascii="標楷體" w:eastAsia="標楷體" w:hAnsi="標楷體" w:hint="eastAsia"/>
        </w:rPr>
        <w:t>,</w:t>
      </w:r>
      <w:r w:rsidRPr="0022039A">
        <w:rPr>
          <w:rFonts w:ascii="標楷體" w:eastAsia="標楷體" w:hAnsi="標楷體" w:hint="eastAsia"/>
        </w:rPr>
        <w:t>000元</w:t>
      </w:r>
      <w:r w:rsidR="0007642C">
        <w:rPr>
          <w:rFonts w:ascii="標楷體" w:eastAsia="標楷體" w:hAnsi="標楷體" w:hint="eastAsia"/>
        </w:rPr>
        <w:t>/年</w:t>
      </w:r>
      <w:r w:rsidRPr="0022039A">
        <w:rPr>
          <w:rFonts w:ascii="標楷體" w:eastAsia="標楷體" w:hAnsi="標楷體" w:hint="eastAsia"/>
        </w:rPr>
        <w:t>（扣抵技術服務9折，附表1）</w:t>
      </w:r>
    </w:p>
    <w:p w14:paraId="0AF98D62" w14:textId="5363F4FD" w:rsidR="00180C25" w:rsidRPr="00F134EE" w:rsidRDefault="00F134EE" w:rsidP="00F134EE">
      <w:pPr>
        <w:widowControl/>
        <w:ind w:firstLine="480"/>
        <w:rPr>
          <w:rFonts w:ascii="標楷體" w:eastAsia="標楷體" w:hAnsi="標楷體"/>
        </w:rPr>
      </w:pPr>
      <w:r w:rsidRPr="00F134EE">
        <w:rPr>
          <w:rFonts w:ascii="標楷體" w:eastAsia="標楷體" w:hAnsi="標楷體" w:hint="eastAsia"/>
        </w:rPr>
        <w:t>(</w:t>
      </w:r>
      <w:proofErr w:type="gramStart"/>
      <w:r w:rsidRPr="00F134EE">
        <w:rPr>
          <w:rFonts w:ascii="標楷體" w:eastAsia="標楷體" w:hAnsi="標楷體" w:hint="eastAsia"/>
        </w:rPr>
        <w:t>如測</w:t>
      </w:r>
      <w:proofErr w:type="gramEnd"/>
      <w:r w:rsidRPr="00F134EE">
        <w:rPr>
          <w:rFonts w:ascii="標楷體" w:eastAsia="標楷體" w:hAnsi="標楷體" w:hint="eastAsia"/>
        </w:rPr>
        <w:t>一</w:t>
      </w:r>
      <w:proofErr w:type="gramStart"/>
      <w:r>
        <w:rPr>
          <w:rFonts w:ascii="標楷體" w:eastAsia="標楷體" w:hAnsi="標楷體" w:hint="eastAsia"/>
        </w:rPr>
        <w:t>600</w:t>
      </w:r>
      <w:r w:rsidRPr="00F134EE">
        <w:rPr>
          <w:rFonts w:ascii="標楷體" w:eastAsia="標楷體" w:hAnsi="標楷體" w:hint="eastAsia"/>
        </w:rPr>
        <w:t>氫譜為</w:t>
      </w:r>
      <w:proofErr w:type="gramEnd"/>
      <w:r w:rsidR="00864C70" w:rsidRPr="0022039A">
        <w:rPr>
          <w:rFonts w:ascii="標楷體" w:eastAsia="標楷體" w:hAnsi="標楷體" w:hint="eastAsia"/>
        </w:rPr>
        <w:t>會費</w:t>
      </w:r>
      <w:r w:rsidRPr="00F134EE">
        <w:rPr>
          <w:rFonts w:ascii="標楷體" w:eastAsia="標楷體" w:hAnsi="標楷體" w:hint="eastAsia"/>
        </w:rPr>
        <w:t>20000-（1300x0.9）= 18830餘額)</w:t>
      </w:r>
    </w:p>
    <w:p w14:paraId="22B19616" w14:textId="6FD1B28A" w:rsidR="004625FB" w:rsidRPr="0022039A" w:rsidRDefault="004625FB" w:rsidP="00E0498B">
      <w:pPr>
        <w:pStyle w:val="a9"/>
        <w:widowControl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22039A">
        <w:rPr>
          <w:rFonts w:ascii="標楷體" w:eastAsia="標楷體" w:hAnsi="標楷體" w:hint="eastAsia"/>
        </w:rPr>
        <w:t>進階會費</w:t>
      </w:r>
      <w:r w:rsidR="0094643C">
        <w:rPr>
          <w:rFonts w:ascii="標楷體" w:eastAsia="標楷體" w:hAnsi="標楷體"/>
        </w:rPr>
        <w:t>10</w:t>
      </w:r>
      <w:r w:rsidRPr="0022039A">
        <w:rPr>
          <w:rFonts w:ascii="標楷體" w:eastAsia="標楷體" w:hAnsi="標楷體" w:hint="eastAsia"/>
        </w:rPr>
        <w:t>0,000元</w:t>
      </w:r>
      <w:r w:rsidR="0007642C">
        <w:rPr>
          <w:rFonts w:ascii="標楷體" w:eastAsia="標楷體" w:hAnsi="標楷體" w:hint="eastAsia"/>
        </w:rPr>
        <w:t>/年</w:t>
      </w:r>
      <w:r w:rsidRPr="0022039A">
        <w:rPr>
          <w:rFonts w:ascii="標楷體" w:eastAsia="標楷體" w:hAnsi="標楷體" w:hint="eastAsia"/>
        </w:rPr>
        <w:t>（扣抵技術服務8折，附表1</w:t>
      </w:r>
      <w:r w:rsidR="00691C67" w:rsidRPr="00691C67">
        <w:rPr>
          <w:rFonts w:ascii="標楷體" w:eastAsia="標楷體" w:hAnsi="標楷體" w:hint="eastAsia"/>
        </w:rPr>
        <w:t>，</w:t>
      </w:r>
      <w:r w:rsidR="00DA6522">
        <w:rPr>
          <w:rFonts w:ascii="標楷體" w:eastAsia="標楷體" w:hAnsi="標楷體" w:cs="Arial" w:hint="eastAsia"/>
          <w:color w:val="000000"/>
          <w:kern w:val="0"/>
          <w:szCs w:val="24"/>
        </w:rPr>
        <w:t>中草藥成分分析</w:t>
      </w:r>
      <w:r w:rsidR="00691C67" w:rsidRPr="00691C67">
        <w:rPr>
          <w:rFonts w:ascii="標楷體" w:eastAsia="標楷體" w:hAnsi="標楷體" w:hint="eastAsia"/>
        </w:rPr>
        <w:t>LC-CC-NMR每支peak優惠價 10,000元，優惠價為原</w:t>
      </w:r>
      <w:bookmarkStart w:id="0" w:name="_GoBack"/>
      <w:bookmarkEnd w:id="0"/>
      <w:r w:rsidR="00691C67" w:rsidRPr="00691C67">
        <w:rPr>
          <w:rFonts w:ascii="標楷體" w:eastAsia="標楷體" w:hAnsi="標楷體" w:hint="eastAsia"/>
        </w:rPr>
        <w:t>價</w:t>
      </w:r>
      <w:r w:rsidR="0007642C">
        <w:rPr>
          <w:rFonts w:ascii="標楷體" w:eastAsia="標楷體" w:hAnsi="標楷體" w:hint="eastAsia"/>
        </w:rPr>
        <w:t>7.7</w:t>
      </w:r>
      <w:r w:rsidR="00691C67" w:rsidRPr="00691C67">
        <w:rPr>
          <w:rFonts w:ascii="標楷體" w:eastAsia="標楷體" w:hAnsi="標楷體" w:hint="eastAsia"/>
        </w:rPr>
        <w:t>折，會員須提供LC圖譜</w:t>
      </w:r>
      <w:r w:rsidRPr="0022039A">
        <w:rPr>
          <w:rFonts w:ascii="標楷體" w:eastAsia="標楷體" w:hAnsi="標楷體" w:hint="eastAsia"/>
        </w:rPr>
        <w:t>）</w:t>
      </w:r>
      <w:r w:rsidR="00E0498B" w:rsidRPr="00E0498B">
        <w:rPr>
          <w:rFonts w:ascii="標楷體" w:eastAsia="標楷體" w:hAnsi="標楷體" w:hint="eastAsia"/>
        </w:rPr>
        <w:t>。</w:t>
      </w:r>
    </w:p>
    <w:p w14:paraId="66B5D165" w14:textId="14588F8A" w:rsidR="00760772" w:rsidRPr="00C41CA7" w:rsidRDefault="00760772" w:rsidP="00CA270C">
      <w:pPr>
        <w:pStyle w:val="a9"/>
        <w:widowControl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金鑽會費 </w:t>
      </w:r>
      <w:r>
        <w:rPr>
          <w:rFonts w:ascii="標楷體" w:eastAsia="標楷體" w:hAnsi="標楷體"/>
        </w:rPr>
        <w:t>500,000</w:t>
      </w:r>
      <w:r w:rsidR="0007642C" w:rsidRPr="0022039A">
        <w:rPr>
          <w:rFonts w:ascii="標楷體" w:eastAsia="標楷體" w:hAnsi="標楷體" w:hint="eastAsia"/>
        </w:rPr>
        <w:t>元</w:t>
      </w:r>
      <w:r w:rsidR="0007642C">
        <w:rPr>
          <w:rFonts w:ascii="標楷體" w:eastAsia="標楷體" w:hAnsi="標楷體" w:hint="eastAsia"/>
        </w:rPr>
        <w:t>/年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 w:rsidRPr="0022039A">
        <w:rPr>
          <w:rFonts w:ascii="標楷體" w:eastAsia="標楷體" w:hAnsi="標楷體" w:hint="eastAsia"/>
        </w:rPr>
        <w:t>扣抵技術服務</w:t>
      </w:r>
      <w:r>
        <w:rPr>
          <w:rFonts w:ascii="標楷體" w:eastAsia="標楷體" w:hAnsi="標楷體"/>
        </w:rPr>
        <w:t>6</w:t>
      </w:r>
      <w:r w:rsidRPr="0022039A">
        <w:rPr>
          <w:rFonts w:ascii="標楷體" w:eastAsia="標楷體" w:hAnsi="標楷體" w:hint="eastAsia"/>
        </w:rPr>
        <w:t>折</w:t>
      </w:r>
      <w:r w:rsidRPr="004D23FD">
        <w:rPr>
          <w:rFonts w:ascii="標楷體" w:eastAsia="標楷體" w:hAnsi="標楷體" w:hint="eastAsia"/>
        </w:rPr>
        <w:t>，附表1，</w:t>
      </w:r>
      <w:r w:rsidR="00DA6522" w:rsidRPr="004D23FD">
        <w:rPr>
          <w:rFonts w:ascii="標楷體" w:eastAsia="標楷體" w:hAnsi="標楷體" w:cs="Arial" w:hint="eastAsia"/>
          <w:color w:val="000000"/>
          <w:kern w:val="0"/>
          <w:szCs w:val="24"/>
        </w:rPr>
        <w:t>中草藥成分分析：</w:t>
      </w:r>
      <w:r w:rsidRPr="004D23FD">
        <w:rPr>
          <w:rFonts w:ascii="標楷體" w:eastAsia="標楷體" w:hAnsi="標楷體" w:hint="eastAsia"/>
        </w:rPr>
        <w:t xml:space="preserve">LC-CC-NMR每支peak優惠價 </w:t>
      </w:r>
      <w:r w:rsidR="0007642C">
        <w:rPr>
          <w:rFonts w:ascii="標楷體" w:eastAsia="標楷體" w:hAnsi="標楷體" w:hint="eastAsia"/>
        </w:rPr>
        <w:t>7</w:t>
      </w:r>
      <w:r w:rsidRPr="004D23FD">
        <w:rPr>
          <w:rFonts w:ascii="標楷體" w:eastAsia="標楷體" w:hAnsi="標楷體"/>
        </w:rPr>
        <w:t>,</w:t>
      </w:r>
      <w:r w:rsidR="0007642C">
        <w:rPr>
          <w:rFonts w:ascii="標楷體" w:eastAsia="標楷體" w:hAnsi="標楷體" w:hint="eastAsia"/>
        </w:rPr>
        <w:t>5</w:t>
      </w:r>
      <w:r w:rsidRPr="004D23FD">
        <w:rPr>
          <w:rFonts w:ascii="標楷體" w:eastAsia="標楷體" w:hAnsi="標楷體" w:hint="eastAsia"/>
        </w:rPr>
        <w:t>00元，優惠價為原價</w:t>
      </w:r>
      <w:r w:rsidR="00DA6522" w:rsidRPr="004D23FD">
        <w:rPr>
          <w:rFonts w:ascii="標楷體" w:eastAsia="標楷體" w:hAnsi="標楷體" w:hint="eastAsia"/>
        </w:rPr>
        <w:t>5</w:t>
      </w:r>
      <w:r w:rsidR="001265C2" w:rsidRPr="004D23FD">
        <w:rPr>
          <w:rFonts w:ascii="標楷體" w:eastAsia="標楷體" w:hAnsi="標楷體" w:hint="eastAsia"/>
        </w:rPr>
        <w:t>.</w:t>
      </w:r>
      <w:r w:rsidR="0007642C">
        <w:rPr>
          <w:rFonts w:ascii="標楷體" w:eastAsia="標楷體" w:hAnsi="標楷體" w:hint="eastAsia"/>
        </w:rPr>
        <w:t>8</w:t>
      </w:r>
      <w:r w:rsidRPr="004D23FD">
        <w:rPr>
          <w:rFonts w:ascii="標楷體" w:eastAsia="標楷體" w:hAnsi="標楷體" w:hint="eastAsia"/>
        </w:rPr>
        <w:t>折，會員須提供LC圖譜</w:t>
      </w:r>
      <w:r w:rsidR="00CA270C" w:rsidRPr="00CA270C">
        <w:rPr>
          <w:rFonts w:ascii="標楷體" w:eastAsia="標楷體" w:hAnsi="標楷體" w:hint="eastAsia"/>
        </w:rPr>
        <w:t>。</w:t>
      </w:r>
      <w:r w:rsidR="00DA6522" w:rsidRPr="00CA270C">
        <w:rPr>
          <w:rFonts w:ascii="標楷體" w:eastAsia="標楷體" w:hAnsi="標楷體" w:hint="eastAsia"/>
          <w:color w:val="FFFFFF" w:themeColor="background1"/>
        </w:rPr>
        <w:t>藥品</w:t>
      </w:r>
      <w:proofErr w:type="gramStart"/>
      <w:r w:rsidR="00DA6522" w:rsidRPr="00CA270C">
        <w:rPr>
          <w:rFonts w:ascii="標楷體" w:eastAsia="標楷體" w:hAnsi="標楷體" w:hint="eastAsia"/>
          <w:color w:val="FFFFFF" w:themeColor="background1"/>
        </w:rPr>
        <w:t>不純物成分</w:t>
      </w:r>
      <w:proofErr w:type="gramEnd"/>
      <w:r w:rsidR="00DA6522" w:rsidRPr="00CA270C">
        <w:rPr>
          <w:rFonts w:ascii="標楷體" w:eastAsia="標楷體" w:hAnsi="標楷體" w:hint="eastAsia"/>
          <w:color w:val="FFFFFF" w:themeColor="background1"/>
        </w:rPr>
        <w:t>分析</w:t>
      </w:r>
      <w:r w:rsidR="00015E86" w:rsidRPr="00CA270C">
        <w:rPr>
          <w:rFonts w:ascii="標楷體" w:eastAsia="標楷體" w:hAnsi="標楷體" w:hint="eastAsia"/>
          <w:color w:val="FFFFFF" w:themeColor="background1"/>
        </w:rPr>
        <w:t>：</w:t>
      </w:r>
      <w:r w:rsidR="00DA6522" w:rsidRPr="00CA270C">
        <w:rPr>
          <w:rFonts w:ascii="標楷體" w:eastAsia="標楷體" w:hAnsi="標楷體" w:hint="eastAsia"/>
          <w:color w:val="FFFFFF" w:themeColor="background1"/>
        </w:rPr>
        <w:t xml:space="preserve">LC-CC-NMR每支peak優惠價 </w:t>
      </w:r>
      <w:r w:rsidR="0007642C" w:rsidRPr="00CA270C">
        <w:rPr>
          <w:rFonts w:ascii="標楷體" w:eastAsia="標楷體" w:hAnsi="標楷體" w:hint="eastAsia"/>
          <w:color w:val="FFFFFF" w:themeColor="background1"/>
        </w:rPr>
        <w:t>14</w:t>
      </w:r>
      <w:r w:rsidR="00DA6522" w:rsidRPr="00CA270C">
        <w:rPr>
          <w:rFonts w:ascii="標楷體" w:eastAsia="標楷體" w:hAnsi="標楷體" w:hint="eastAsia"/>
          <w:color w:val="FFFFFF" w:themeColor="background1"/>
        </w:rPr>
        <w:t>,000元，優惠價為原價5</w:t>
      </w:r>
      <w:r w:rsidR="001265C2" w:rsidRPr="00CA270C">
        <w:rPr>
          <w:rFonts w:ascii="標楷體" w:eastAsia="標楷體" w:hAnsi="標楷體" w:hint="eastAsia"/>
          <w:color w:val="FFFFFF" w:themeColor="background1"/>
        </w:rPr>
        <w:t>.</w:t>
      </w:r>
      <w:r w:rsidR="0007642C" w:rsidRPr="00CA270C">
        <w:rPr>
          <w:rFonts w:ascii="標楷體" w:eastAsia="標楷體" w:hAnsi="標楷體" w:hint="eastAsia"/>
          <w:color w:val="FFFFFF" w:themeColor="background1"/>
        </w:rPr>
        <w:t>8</w:t>
      </w:r>
      <w:r w:rsidR="00DA6522" w:rsidRPr="00CA270C">
        <w:rPr>
          <w:rFonts w:ascii="標楷體" w:eastAsia="標楷體" w:hAnsi="標楷體" w:hint="eastAsia"/>
          <w:color w:val="FFFFFF" w:themeColor="background1"/>
        </w:rPr>
        <w:t>折，會員須提供LC圖譜</w:t>
      </w:r>
      <w:proofErr w:type="gramStart"/>
      <w:r w:rsidR="00E0498B" w:rsidRPr="00CA270C">
        <w:rPr>
          <w:rFonts w:ascii="標楷體" w:eastAsia="標楷體" w:hAnsi="標楷體" w:hint="eastAsia"/>
          <w:color w:val="FFFFFF" w:themeColor="background1"/>
        </w:rPr>
        <w:t>）</w:t>
      </w:r>
      <w:proofErr w:type="gramEnd"/>
      <w:r w:rsidR="00E0498B" w:rsidRPr="00CA270C">
        <w:rPr>
          <w:rFonts w:ascii="標楷體" w:eastAsia="標楷體" w:hAnsi="標楷體" w:hint="eastAsia"/>
          <w:color w:val="FFFFFF" w:themeColor="background1"/>
        </w:rPr>
        <w:t>。</w:t>
      </w:r>
    </w:p>
    <w:p w14:paraId="5237D7C5" w14:textId="77777777" w:rsidR="0022039A" w:rsidRPr="0022039A" w:rsidRDefault="0022039A" w:rsidP="0022039A">
      <w:pPr>
        <w:widowControl/>
        <w:rPr>
          <w:rFonts w:ascii="標楷體" w:eastAsia="標楷體" w:hAnsi="標楷體"/>
          <w:b/>
        </w:rPr>
      </w:pPr>
      <w:r w:rsidRPr="0022039A">
        <w:rPr>
          <w:rFonts w:ascii="標楷體" w:eastAsia="標楷體" w:hAnsi="標楷體" w:hint="eastAsia"/>
          <w:b/>
        </w:rPr>
        <w:t>儀器設備：</w:t>
      </w:r>
    </w:p>
    <w:p w14:paraId="435D7982" w14:textId="77777777" w:rsidR="0022039A" w:rsidRPr="0022039A" w:rsidRDefault="0022039A" w:rsidP="0022039A">
      <w:pPr>
        <w:widowControl/>
        <w:rPr>
          <w:rFonts w:ascii="標楷體" w:eastAsia="標楷體" w:hAnsi="標楷體"/>
        </w:rPr>
      </w:pPr>
      <w:r w:rsidRPr="0022039A">
        <w:rPr>
          <w:rFonts w:ascii="標楷體" w:eastAsia="標楷體" w:hAnsi="標楷體" w:hint="eastAsia"/>
        </w:rPr>
        <w:t>1.</w:t>
      </w:r>
      <w:r w:rsidRPr="0022039A">
        <w:rPr>
          <w:rFonts w:ascii="標楷體" w:eastAsia="標楷體" w:hAnsi="標楷體" w:hint="eastAsia"/>
        </w:rPr>
        <w:tab/>
      </w:r>
      <w:proofErr w:type="spellStart"/>
      <w:r w:rsidRPr="0022039A">
        <w:rPr>
          <w:rFonts w:ascii="標楷體" w:eastAsia="標楷體" w:hAnsi="標楷體" w:hint="eastAsia"/>
        </w:rPr>
        <w:t>Bruker</w:t>
      </w:r>
      <w:proofErr w:type="spellEnd"/>
      <w:r w:rsidRPr="0022039A">
        <w:rPr>
          <w:rFonts w:ascii="標楷體" w:eastAsia="標楷體" w:hAnsi="標楷體" w:hint="eastAsia"/>
        </w:rPr>
        <w:t xml:space="preserve"> </w:t>
      </w:r>
      <w:proofErr w:type="spellStart"/>
      <w:r w:rsidRPr="0022039A">
        <w:rPr>
          <w:rFonts w:ascii="標楷體" w:eastAsia="標楷體" w:hAnsi="標楷體" w:hint="eastAsia"/>
        </w:rPr>
        <w:t>micrOTOF</w:t>
      </w:r>
      <w:proofErr w:type="spellEnd"/>
      <w:r w:rsidRPr="0022039A">
        <w:rPr>
          <w:rFonts w:ascii="標楷體" w:eastAsia="標楷體" w:hAnsi="標楷體" w:hint="eastAsia"/>
        </w:rPr>
        <w:t xml:space="preserve"> II 高解析液相質譜儀</w:t>
      </w:r>
    </w:p>
    <w:p w14:paraId="740B3B01" w14:textId="77777777" w:rsidR="0022039A" w:rsidRPr="0022039A" w:rsidRDefault="0022039A" w:rsidP="0022039A">
      <w:pPr>
        <w:widowControl/>
        <w:rPr>
          <w:rFonts w:ascii="標楷體" w:eastAsia="標楷體" w:hAnsi="標楷體"/>
        </w:rPr>
      </w:pPr>
      <w:r w:rsidRPr="0022039A">
        <w:rPr>
          <w:rFonts w:ascii="標楷體" w:eastAsia="標楷體" w:hAnsi="標楷體" w:hint="eastAsia"/>
        </w:rPr>
        <w:t xml:space="preserve">硬體配備：  </w:t>
      </w:r>
      <w:proofErr w:type="spellStart"/>
      <w:r w:rsidRPr="0022039A">
        <w:rPr>
          <w:rFonts w:ascii="標楷體" w:eastAsia="標楷體" w:hAnsi="標楷體" w:hint="eastAsia"/>
        </w:rPr>
        <w:t>micrOTOF</w:t>
      </w:r>
      <w:proofErr w:type="spellEnd"/>
      <w:r w:rsidRPr="0022039A">
        <w:rPr>
          <w:rFonts w:ascii="標楷體" w:eastAsia="標楷體" w:hAnsi="標楷體" w:hint="eastAsia"/>
        </w:rPr>
        <w:t xml:space="preserve"> II 主體 (飛行式質譜儀)</w:t>
      </w:r>
    </w:p>
    <w:p w14:paraId="6DE379D7" w14:textId="77777777" w:rsidR="0022039A" w:rsidRPr="0022039A" w:rsidRDefault="0022039A" w:rsidP="0022039A">
      <w:pPr>
        <w:widowControl/>
        <w:rPr>
          <w:rFonts w:ascii="標楷體" w:eastAsia="標楷體" w:hAnsi="標楷體"/>
        </w:rPr>
      </w:pPr>
      <w:r w:rsidRPr="0022039A">
        <w:rPr>
          <w:rFonts w:ascii="標楷體" w:eastAsia="標楷體" w:hAnsi="標楷體" w:hint="eastAsia"/>
        </w:rPr>
        <w:t xml:space="preserve">操作軟體： </w:t>
      </w:r>
      <w:r w:rsidRPr="0022039A">
        <w:rPr>
          <w:rFonts w:ascii="標楷體" w:eastAsia="標楷體" w:hAnsi="標楷體" w:hint="eastAsia"/>
        </w:rPr>
        <w:tab/>
        <w:t xml:space="preserve">(1) </w:t>
      </w:r>
      <w:proofErr w:type="spellStart"/>
      <w:r w:rsidRPr="0022039A">
        <w:rPr>
          <w:rFonts w:ascii="標楷體" w:eastAsia="標楷體" w:hAnsi="標楷體" w:hint="eastAsia"/>
        </w:rPr>
        <w:t>micrOTOFcontrol</w:t>
      </w:r>
      <w:proofErr w:type="spellEnd"/>
      <w:r w:rsidRPr="0022039A">
        <w:rPr>
          <w:rFonts w:ascii="標楷體" w:eastAsia="標楷體" w:hAnsi="標楷體" w:hint="eastAsia"/>
        </w:rPr>
        <w:t xml:space="preserve"> (v. 2.3, Patch 1, Build 40)</w:t>
      </w:r>
    </w:p>
    <w:p w14:paraId="4AC61D46" w14:textId="77777777" w:rsidR="0022039A" w:rsidRPr="0022039A" w:rsidRDefault="0022039A" w:rsidP="0022039A">
      <w:pPr>
        <w:widowControl/>
        <w:rPr>
          <w:rFonts w:ascii="標楷體" w:eastAsia="標楷體" w:hAnsi="標楷體"/>
        </w:rPr>
      </w:pPr>
      <w:r w:rsidRPr="0022039A">
        <w:rPr>
          <w:rFonts w:ascii="標楷體" w:eastAsia="標楷體" w:hAnsi="標楷體"/>
        </w:rPr>
        <w:tab/>
      </w:r>
      <w:r w:rsidRPr="0022039A">
        <w:rPr>
          <w:rFonts w:ascii="標楷體" w:eastAsia="標楷體" w:hAnsi="標楷體" w:hint="eastAsia"/>
        </w:rPr>
        <w:t xml:space="preserve">    </w:t>
      </w:r>
      <w:r w:rsidRPr="0022039A">
        <w:rPr>
          <w:rFonts w:ascii="標楷體" w:eastAsia="標楷體" w:hAnsi="標楷體"/>
        </w:rPr>
        <w:tab/>
        <w:t>(2) Data Analysis (v. 4.0 SP 4, Build 281)</w:t>
      </w:r>
    </w:p>
    <w:p w14:paraId="2D5DDD20" w14:textId="77777777" w:rsidR="0022039A" w:rsidRPr="0022039A" w:rsidRDefault="0022039A" w:rsidP="0022039A">
      <w:pPr>
        <w:widowControl/>
        <w:rPr>
          <w:rFonts w:ascii="標楷體" w:eastAsia="標楷體" w:hAnsi="標楷體"/>
        </w:rPr>
      </w:pPr>
      <w:r w:rsidRPr="0022039A">
        <w:rPr>
          <w:rFonts w:ascii="標楷體" w:eastAsia="標楷體" w:hAnsi="標楷體" w:hint="eastAsia"/>
        </w:rPr>
        <w:t>2.</w:t>
      </w:r>
      <w:r w:rsidRPr="0022039A">
        <w:rPr>
          <w:rFonts w:ascii="標楷體" w:eastAsia="標楷體" w:hAnsi="標楷體" w:hint="eastAsia"/>
        </w:rPr>
        <w:tab/>
      </w:r>
      <w:proofErr w:type="spellStart"/>
      <w:r w:rsidRPr="0022039A">
        <w:rPr>
          <w:rFonts w:ascii="標楷體" w:eastAsia="標楷體" w:hAnsi="標楷體" w:hint="eastAsia"/>
        </w:rPr>
        <w:t>Bruker</w:t>
      </w:r>
      <w:proofErr w:type="spellEnd"/>
      <w:r w:rsidRPr="0022039A">
        <w:rPr>
          <w:rFonts w:ascii="標楷體" w:eastAsia="標楷體" w:hAnsi="標楷體" w:hint="eastAsia"/>
        </w:rPr>
        <w:t xml:space="preserve"> </w:t>
      </w:r>
      <w:proofErr w:type="spellStart"/>
      <w:r w:rsidRPr="0022039A">
        <w:rPr>
          <w:rFonts w:ascii="標楷體" w:eastAsia="標楷體" w:hAnsi="標楷體" w:hint="eastAsia"/>
        </w:rPr>
        <w:t>Avance</w:t>
      </w:r>
      <w:proofErr w:type="spellEnd"/>
      <w:r w:rsidRPr="0022039A">
        <w:rPr>
          <w:rFonts w:ascii="標楷體" w:eastAsia="標楷體" w:hAnsi="標楷體" w:hint="eastAsia"/>
        </w:rPr>
        <w:t xml:space="preserve"> III 600 MHz -NMR (600 MHz核磁共振儀)</w:t>
      </w:r>
    </w:p>
    <w:p w14:paraId="04F8CE2D" w14:textId="77777777" w:rsidR="0022039A" w:rsidRPr="0022039A" w:rsidRDefault="0022039A" w:rsidP="0022039A">
      <w:pPr>
        <w:widowControl/>
        <w:rPr>
          <w:rFonts w:ascii="標楷體" w:eastAsia="標楷體" w:hAnsi="標楷體"/>
        </w:rPr>
      </w:pPr>
      <w:r w:rsidRPr="0022039A">
        <w:rPr>
          <w:rFonts w:ascii="標楷體" w:eastAsia="標楷體" w:hAnsi="標楷體" w:hint="eastAsia"/>
        </w:rPr>
        <w:t xml:space="preserve">硬體配備： </w:t>
      </w:r>
      <w:r w:rsidRPr="0022039A">
        <w:rPr>
          <w:rFonts w:ascii="標楷體" w:eastAsia="標楷體" w:hAnsi="標楷體" w:hint="eastAsia"/>
        </w:rPr>
        <w:tab/>
        <w:t xml:space="preserve">(1) 超導體磁鐵 600 MHz super-conducting magnet </w:t>
      </w:r>
      <w:proofErr w:type="spellStart"/>
      <w:r w:rsidRPr="0022039A">
        <w:rPr>
          <w:rFonts w:ascii="標楷體" w:eastAsia="標楷體" w:hAnsi="標楷體" w:hint="eastAsia"/>
        </w:rPr>
        <w:t>Ultrashield</w:t>
      </w:r>
      <w:proofErr w:type="spellEnd"/>
      <w:r w:rsidRPr="0022039A">
        <w:rPr>
          <w:rFonts w:ascii="標楷體" w:eastAsia="標楷體" w:hAnsi="標楷體" w:hint="eastAsia"/>
        </w:rPr>
        <w:t xml:space="preserve"> Plus</w:t>
      </w:r>
    </w:p>
    <w:p w14:paraId="580A34A4" w14:textId="77777777" w:rsidR="0022039A" w:rsidRPr="0022039A" w:rsidRDefault="0022039A" w:rsidP="0022039A">
      <w:pPr>
        <w:widowControl/>
        <w:rPr>
          <w:rFonts w:ascii="標楷體" w:eastAsia="標楷體" w:hAnsi="標楷體"/>
        </w:rPr>
      </w:pPr>
      <w:r w:rsidRPr="0022039A">
        <w:rPr>
          <w:rFonts w:ascii="標楷體" w:eastAsia="標楷體" w:hAnsi="標楷體" w:hint="eastAsia"/>
        </w:rPr>
        <w:tab/>
        <w:t xml:space="preserve">        (2) 電子控制系統 AVANCE-III high resolution NMR spectrometer</w:t>
      </w:r>
    </w:p>
    <w:p w14:paraId="1A925C6F" w14:textId="77777777" w:rsidR="0022039A" w:rsidRPr="0022039A" w:rsidRDefault="0022039A" w:rsidP="0022039A">
      <w:pPr>
        <w:widowControl/>
        <w:rPr>
          <w:rFonts w:ascii="標楷體" w:eastAsia="標楷體" w:hAnsi="標楷體"/>
        </w:rPr>
      </w:pPr>
      <w:r w:rsidRPr="0022039A">
        <w:rPr>
          <w:rFonts w:ascii="標楷體" w:eastAsia="標楷體" w:hAnsi="標楷體" w:hint="eastAsia"/>
        </w:rPr>
        <w:tab/>
        <w:t xml:space="preserve">        (3) 電子控溫系統 </w:t>
      </w:r>
      <w:proofErr w:type="spellStart"/>
      <w:r w:rsidRPr="0022039A">
        <w:rPr>
          <w:rFonts w:ascii="標楷體" w:eastAsia="標楷體" w:hAnsi="標楷體" w:hint="eastAsia"/>
        </w:rPr>
        <w:t>Bruker</w:t>
      </w:r>
      <w:proofErr w:type="spellEnd"/>
      <w:r w:rsidRPr="0022039A">
        <w:rPr>
          <w:rFonts w:ascii="標楷體" w:eastAsia="標楷體" w:hAnsi="標楷體" w:hint="eastAsia"/>
        </w:rPr>
        <w:t xml:space="preserve"> BCU05</w:t>
      </w:r>
    </w:p>
    <w:p w14:paraId="7BF0D487" w14:textId="77777777" w:rsidR="0022039A" w:rsidRPr="0022039A" w:rsidRDefault="0022039A" w:rsidP="0022039A">
      <w:pPr>
        <w:widowControl/>
        <w:rPr>
          <w:rFonts w:ascii="標楷體" w:eastAsia="標楷體" w:hAnsi="標楷體"/>
        </w:rPr>
      </w:pPr>
      <w:r w:rsidRPr="0022039A">
        <w:rPr>
          <w:rFonts w:ascii="標楷體" w:eastAsia="標楷體" w:hAnsi="標楷體" w:hint="eastAsia"/>
        </w:rPr>
        <w:tab/>
        <w:t xml:space="preserve">        (4) 樣品自動更換機械臂 </w:t>
      </w:r>
      <w:proofErr w:type="spellStart"/>
      <w:r w:rsidRPr="0022039A">
        <w:rPr>
          <w:rFonts w:ascii="標楷體" w:eastAsia="標楷體" w:hAnsi="標楷體" w:hint="eastAsia"/>
        </w:rPr>
        <w:t>Bruker</w:t>
      </w:r>
      <w:proofErr w:type="spellEnd"/>
      <w:r w:rsidRPr="0022039A">
        <w:rPr>
          <w:rFonts w:ascii="標楷體" w:eastAsia="標楷體" w:hAnsi="標楷體" w:hint="eastAsia"/>
        </w:rPr>
        <w:t xml:space="preserve"> B-ACS 60  </w:t>
      </w:r>
    </w:p>
    <w:p w14:paraId="611646D0" w14:textId="77777777" w:rsidR="0022039A" w:rsidRPr="0022039A" w:rsidRDefault="0022039A" w:rsidP="0022039A">
      <w:pPr>
        <w:widowControl/>
        <w:rPr>
          <w:rFonts w:ascii="標楷體" w:eastAsia="標楷體" w:hAnsi="標楷體"/>
        </w:rPr>
      </w:pPr>
      <w:r w:rsidRPr="0022039A">
        <w:rPr>
          <w:rFonts w:ascii="標楷體" w:eastAsia="標楷體" w:hAnsi="標楷體" w:hint="eastAsia"/>
        </w:rPr>
        <w:t>操作軟體：</w:t>
      </w:r>
      <w:r w:rsidRPr="0022039A">
        <w:rPr>
          <w:rFonts w:ascii="標楷體" w:eastAsia="標楷體" w:hAnsi="標楷體" w:hint="eastAsia"/>
        </w:rPr>
        <w:tab/>
        <w:t>(1) Topspin (v. 2.1 Patch 6, Build 561)</w:t>
      </w:r>
    </w:p>
    <w:p w14:paraId="2EA7787F" w14:textId="77777777" w:rsidR="004625FB" w:rsidRPr="0022039A" w:rsidRDefault="0022039A" w:rsidP="0022039A">
      <w:pPr>
        <w:widowControl/>
        <w:rPr>
          <w:rFonts w:ascii="標楷體" w:eastAsia="標楷體" w:hAnsi="標楷體"/>
        </w:rPr>
      </w:pPr>
      <w:r w:rsidRPr="0022039A">
        <w:rPr>
          <w:rFonts w:ascii="標楷體" w:eastAsia="標楷體" w:hAnsi="標楷體"/>
        </w:rPr>
        <w:tab/>
      </w:r>
      <w:r w:rsidRPr="0022039A">
        <w:rPr>
          <w:rFonts w:ascii="標楷體" w:eastAsia="標楷體" w:hAnsi="標楷體" w:hint="eastAsia"/>
        </w:rPr>
        <w:t xml:space="preserve">        </w:t>
      </w:r>
      <w:r w:rsidRPr="0022039A">
        <w:rPr>
          <w:rFonts w:ascii="標楷體" w:eastAsia="標楷體" w:hAnsi="標楷體"/>
        </w:rPr>
        <w:t>(2) ICON-NMR (v. 4.2.6, Build 9)</w:t>
      </w:r>
    </w:p>
    <w:p w14:paraId="69C67F4B" w14:textId="77777777" w:rsidR="004625FB" w:rsidRPr="0022039A" w:rsidRDefault="004625FB" w:rsidP="004625FB">
      <w:pPr>
        <w:widowControl/>
        <w:rPr>
          <w:rFonts w:ascii="標楷體" w:eastAsia="標楷體" w:hAnsi="標楷體"/>
        </w:rPr>
      </w:pPr>
      <w:r w:rsidRPr="0022039A">
        <w:rPr>
          <w:rFonts w:ascii="標楷體" w:eastAsia="標楷體" w:hAnsi="標楷體" w:hint="eastAsia"/>
        </w:rPr>
        <w:t>核心設施服務管理與執行之諮詢及問題反應</w:t>
      </w:r>
    </w:p>
    <w:p w14:paraId="7F0E544E" w14:textId="77777777" w:rsidR="004625FB" w:rsidRPr="0022039A" w:rsidRDefault="004625FB" w:rsidP="004625FB">
      <w:pPr>
        <w:widowControl/>
        <w:rPr>
          <w:rFonts w:ascii="標楷體" w:eastAsia="標楷體" w:hAnsi="標楷體"/>
        </w:rPr>
      </w:pPr>
      <w:r w:rsidRPr="0022039A">
        <w:rPr>
          <w:rFonts w:ascii="標楷體" w:eastAsia="標楷體" w:hAnsi="標楷體" w:hint="eastAsia"/>
        </w:rPr>
        <w:t>資料填寫上若有任何疑問，請洽</w:t>
      </w:r>
      <w:r w:rsidR="00C41CA7" w:rsidRPr="0022039A">
        <w:rPr>
          <w:rFonts w:ascii="標楷體" w:eastAsia="標楷體" w:hAnsi="標楷體" w:hint="eastAsia"/>
        </w:rPr>
        <w:t>技術服務人員</w:t>
      </w:r>
      <w:r w:rsidRPr="0022039A">
        <w:rPr>
          <w:rFonts w:ascii="標楷體" w:eastAsia="標楷體" w:hAnsi="標楷體" w:hint="eastAsia"/>
        </w:rPr>
        <w:t>蔡勝發博士</w:t>
      </w:r>
    </w:p>
    <w:p w14:paraId="21912BE2" w14:textId="6697C388" w:rsidR="004625FB" w:rsidRPr="0022039A" w:rsidRDefault="004625FB" w:rsidP="004625FB">
      <w:pPr>
        <w:widowControl/>
        <w:rPr>
          <w:rFonts w:ascii="標楷體" w:eastAsia="標楷體" w:hAnsi="標楷體"/>
        </w:rPr>
      </w:pPr>
      <w:r w:rsidRPr="0022039A">
        <w:rPr>
          <w:rFonts w:ascii="標楷體" w:eastAsia="標楷體" w:hAnsi="標楷體" w:hint="eastAsia"/>
        </w:rPr>
        <w:t xml:space="preserve">電話：(02)-33663366 分機55353 </w:t>
      </w:r>
      <w:r w:rsidRPr="0022039A">
        <w:rPr>
          <w:rFonts w:ascii="標楷體" w:eastAsia="標楷體" w:hAnsi="標楷體"/>
        </w:rPr>
        <w:t>Email: apha8@yahoo.com.tw</w:t>
      </w:r>
    </w:p>
    <w:p w14:paraId="01F707D0" w14:textId="7DB2E265" w:rsidR="004625FB" w:rsidRPr="0022039A" w:rsidRDefault="004625FB" w:rsidP="004625FB">
      <w:pPr>
        <w:widowControl/>
        <w:rPr>
          <w:rFonts w:ascii="標楷體" w:eastAsia="標楷體" w:hAnsi="標楷體"/>
        </w:rPr>
      </w:pPr>
      <w:r w:rsidRPr="0022039A">
        <w:rPr>
          <w:rFonts w:ascii="標楷體" w:eastAsia="標楷體" w:hAnsi="標楷體" w:hint="eastAsia"/>
        </w:rPr>
        <w:t>本</w:t>
      </w:r>
      <w:r w:rsidR="00DE303B">
        <w:rPr>
          <w:rFonts w:ascii="標楷體" w:eastAsia="標楷體" w:hAnsi="標楷體" w:hint="eastAsia"/>
        </w:rPr>
        <w:t>服務</w:t>
      </w:r>
      <w:r w:rsidRPr="0022039A">
        <w:rPr>
          <w:rFonts w:ascii="標楷體" w:eastAsia="標楷體" w:hAnsi="標楷體" w:hint="eastAsia"/>
        </w:rPr>
        <w:t>指導教授：梁碧惠教授  (02) 33668694</w:t>
      </w:r>
      <w:r w:rsidR="008B4857">
        <w:rPr>
          <w:rFonts w:ascii="標楷體" w:eastAsia="標楷體" w:hAnsi="標楷體" w:hint="eastAsia"/>
        </w:rPr>
        <w:t xml:space="preserve"> </w:t>
      </w:r>
      <w:r w:rsidRPr="0022039A">
        <w:rPr>
          <w:rFonts w:ascii="標楷體" w:eastAsia="標楷體" w:hAnsi="標楷體"/>
        </w:rPr>
        <w:t xml:space="preserve">Email: </w:t>
      </w:r>
      <w:hyperlink r:id="rId9" w:history="1">
        <w:r w:rsidRPr="0022039A">
          <w:rPr>
            <w:rStyle w:val="a8"/>
            <w:rFonts w:ascii="標楷體" w:eastAsia="標楷體" w:hAnsi="標楷體"/>
          </w:rPr>
          <w:t>phliang@ntu.edu.tw</w:t>
        </w:r>
      </w:hyperlink>
    </w:p>
    <w:p w14:paraId="1F354A75" w14:textId="0192F103" w:rsidR="004625FB" w:rsidRPr="0022039A" w:rsidRDefault="004625FB" w:rsidP="004625FB">
      <w:pPr>
        <w:widowControl/>
        <w:rPr>
          <w:rFonts w:ascii="標楷體" w:eastAsia="標楷體" w:hAnsi="標楷體"/>
        </w:rPr>
      </w:pPr>
      <w:r w:rsidRPr="0022039A">
        <w:rPr>
          <w:rFonts w:ascii="標楷體" w:eastAsia="標楷體" w:hAnsi="標楷體" w:hint="eastAsia"/>
        </w:rPr>
        <w:t>顧問 李水盛 教授 (02)33668772</w:t>
      </w:r>
      <w:r w:rsidR="008B4857">
        <w:rPr>
          <w:rFonts w:ascii="標楷體" w:eastAsia="標楷體" w:hAnsi="標楷體" w:hint="eastAsia"/>
        </w:rPr>
        <w:t xml:space="preserve"> </w:t>
      </w:r>
      <w:r w:rsidRPr="0022039A">
        <w:rPr>
          <w:rFonts w:ascii="標楷體" w:eastAsia="標楷體" w:hAnsi="標楷體"/>
        </w:rPr>
        <w:t>Email: shoeilee@ntu.edu.tw</w:t>
      </w:r>
    </w:p>
    <w:p w14:paraId="5A763D4C" w14:textId="77777777" w:rsidR="003F77BB" w:rsidRPr="0022039A" w:rsidRDefault="00180C25" w:rsidP="00AE2467">
      <w:pPr>
        <w:widowControl/>
        <w:rPr>
          <w:rFonts w:ascii="標楷體" w:eastAsia="標楷體" w:hAnsi="標楷體"/>
        </w:rPr>
      </w:pPr>
      <w:r w:rsidRPr="0022039A">
        <w:rPr>
          <w:rFonts w:ascii="標楷體" w:eastAsia="標楷體" w:hAnsi="標楷體"/>
        </w:rPr>
        <w:br w:type="page"/>
      </w:r>
      <w:r w:rsidRPr="0022039A">
        <w:rPr>
          <w:rFonts w:ascii="標楷體" w:eastAsia="標楷體" w:hAnsi="標楷體" w:hint="eastAsia"/>
        </w:rPr>
        <w:lastRenderedPageBreak/>
        <w:t xml:space="preserve">附表1 </w:t>
      </w:r>
      <w:r w:rsidR="00A96CC4" w:rsidRPr="0022039A">
        <w:rPr>
          <w:rFonts w:ascii="標楷體" w:eastAsia="標楷體" w:hAnsi="標楷體" w:hint="eastAsia"/>
        </w:rPr>
        <w:t>技術服務案之服務項目說明：（請詳填服務項目</w:t>
      </w:r>
      <w:r w:rsidR="00736485" w:rsidRPr="0022039A">
        <w:rPr>
          <w:rFonts w:ascii="標楷體" w:eastAsia="標楷體" w:hAnsi="標楷體" w:hint="eastAsia"/>
        </w:rPr>
        <w:t>、收費</w:t>
      </w:r>
      <w:r w:rsidR="000653FA" w:rsidRPr="0022039A">
        <w:rPr>
          <w:rFonts w:ascii="標楷體" w:eastAsia="標楷體" w:hAnsi="標楷體" w:hint="eastAsia"/>
        </w:rPr>
        <w:t>標準</w:t>
      </w:r>
      <w:r w:rsidR="00A96CC4" w:rsidRPr="0022039A">
        <w:rPr>
          <w:rFonts w:ascii="標楷體" w:eastAsia="標楷體" w:hAnsi="標楷體" w:hint="eastAsia"/>
        </w:rPr>
        <w:t>及其執行方</w:t>
      </w:r>
      <w:r w:rsidR="00736485" w:rsidRPr="0022039A">
        <w:rPr>
          <w:rFonts w:ascii="標楷體" w:eastAsia="標楷體" w:hAnsi="標楷體" w:hint="eastAsia"/>
        </w:rPr>
        <w:t>法</w:t>
      </w:r>
      <w:r w:rsidR="00D2387A" w:rsidRPr="0022039A">
        <w:rPr>
          <w:rFonts w:ascii="標楷體" w:eastAsia="標楷體" w:hAnsi="標楷體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4"/>
      </w:tblGrid>
      <w:tr w:rsidR="003F77BB" w:rsidRPr="0022039A" w14:paraId="1B9E0953" w14:textId="77777777" w:rsidTr="005D0ED5">
        <w:trPr>
          <w:trHeight w:val="14092"/>
        </w:trPr>
        <w:tc>
          <w:tcPr>
            <w:tcW w:w="10564" w:type="dxa"/>
          </w:tcPr>
          <w:tbl>
            <w:tblPr>
              <w:tblW w:w="10343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495"/>
              <w:gridCol w:w="1166"/>
              <w:gridCol w:w="6606"/>
              <w:gridCol w:w="76"/>
            </w:tblGrid>
            <w:tr w:rsidR="00390650" w:rsidRPr="0022039A" w14:paraId="2D4D4945" w14:textId="77777777" w:rsidTr="00527CA9">
              <w:trPr>
                <w:trHeight w:val="345"/>
              </w:trPr>
              <w:tc>
                <w:tcPr>
                  <w:tcW w:w="2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1A81CD" w14:textId="77777777" w:rsidR="00390650" w:rsidRPr="0022039A" w:rsidRDefault="00390650" w:rsidP="0039065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22039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服務項目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F24C3E" w14:textId="77777777" w:rsidR="00390650" w:rsidRPr="0022039A" w:rsidRDefault="00390650" w:rsidP="0039065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22039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收費</w:t>
                  </w:r>
                </w:p>
              </w:tc>
              <w:tc>
                <w:tcPr>
                  <w:tcW w:w="6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63DE42" w14:textId="77777777" w:rsidR="00390650" w:rsidRPr="0022039A" w:rsidRDefault="00390650" w:rsidP="0039065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22039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說明</w:t>
                  </w:r>
                </w:p>
              </w:tc>
              <w:tc>
                <w:tcPr>
                  <w:tcW w:w="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526DDC" w14:textId="77777777" w:rsidR="00390650" w:rsidRPr="0022039A" w:rsidRDefault="00390650" w:rsidP="0039065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9D616E" w:rsidRPr="0022039A" w14:paraId="3184DF08" w14:textId="77777777" w:rsidTr="00527CA9">
              <w:trPr>
                <w:gridAfter w:val="1"/>
                <w:wAfter w:w="76" w:type="dxa"/>
                <w:trHeight w:val="405"/>
              </w:trPr>
              <w:tc>
                <w:tcPr>
                  <w:tcW w:w="249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900A653" w14:textId="77777777" w:rsidR="009D616E" w:rsidRPr="0022039A" w:rsidRDefault="009D616E" w:rsidP="00390650">
                  <w:pPr>
                    <w:widowControl/>
                    <w:rPr>
                      <w:rFonts w:ascii="標楷體" w:eastAsia="標楷體" w:hAnsi="標楷體" w:cs="Arial"/>
                      <w:color w:val="000000"/>
                      <w:kern w:val="0"/>
                      <w:szCs w:val="24"/>
                    </w:rPr>
                  </w:pPr>
                  <w:r w:rsidRPr="0022039A">
                    <w:rPr>
                      <w:rFonts w:ascii="標楷體" w:eastAsia="標楷體" w:hAnsi="標楷體" w:cs="Arial"/>
                      <w:color w:val="000000"/>
                      <w:kern w:val="0"/>
                      <w:szCs w:val="24"/>
                    </w:rPr>
                    <w:t>低解析質譜儀測定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F971DA" w14:textId="715F756A" w:rsidR="009D616E" w:rsidRPr="0022039A" w:rsidRDefault="009D616E" w:rsidP="00390650">
                  <w:pPr>
                    <w:widowControl/>
                    <w:jc w:val="right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10</w:t>
                  </w:r>
                  <w:r w:rsidRPr="0022039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00</w:t>
                  </w:r>
                </w:p>
              </w:tc>
              <w:tc>
                <w:tcPr>
                  <w:tcW w:w="660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919EC6" w14:textId="06F799A6" w:rsidR="009D616E" w:rsidRPr="0022039A" w:rsidRDefault="009D616E" w:rsidP="0039065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22039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每件為單位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，</w:t>
                  </w:r>
                  <w:r>
                    <w:rPr>
                      <w:rFonts w:ascii="Times New Roman" w:eastAsia="標楷體" w:hAnsi="Times New Roman" w:cs="Times New Roman" w:hint="eastAsia"/>
                      <w:kern w:val="0"/>
                    </w:rPr>
                    <w:t>五件</w:t>
                  </w:r>
                  <w:r>
                    <w:rPr>
                      <w:rFonts w:ascii="Times New Roman" w:eastAsia="標楷體" w:hAnsi="Times New Roman" w:cs="Times New Roman"/>
                      <w:kern w:val="0"/>
                    </w:rPr>
                    <w:t>95</w:t>
                  </w:r>
                  <w:r>
                    <w:rPr>
                      <w:rFonts w:ascii="Times New Roman" w:eastAsia="標楷體" w:hAnsi="Times New Roman" w:cs="Times New Roman" w:hint="eastAsia"/>
                      <w:kern w:val="0"/>
                    </w:rPr>
                    <w:t>折、十件</w:t>
                  </w:r>
                  <w:r>
                    <w:rPr>
                      <w:rFonts w:ascii="Times New Roman" w:eastAsia="標楷體" w:hAnsi="Times New Roman" w:cs="Times New Roman"/>
                      <w:kern w:val="0"/>
                    </w:rPr>
                    <w:t>9</w:t>
                  </w:r>
                  <w:r>
                    <w:rPr>
                      <w:rFonts w:ascii="Times New Roman" w:eastAsia="標楷體" w:hAnsi="Times New Roman" w:cs="Times New Roman" w:hint="eastAsia"/>
                      <w:kern w:val="0"/>
                    </w:rPr>
                    <w:t>折</w:t>
                  </w:r>
                </w:p>
              </w:tc>
            </w:tr>
            <w:tr w:rsidR="009D616E" w:rsidRPr="0022039A" w14:paraId="750608CC" w14:textId="77777777" w:rsidTr="00527CA9">
              <w:trPr>
                <w:gridAfter w:val="1"/>
                <w:wAfter w:w="76" w:type="dxa"/>
                <w:trHeight w:val="405"/>
              </w:trPr>
              <w:tc>
                <w:tcPr>
                  <w:tcW w:w="24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16D0C39" w14:textId="77777777" w:rsidR="009D616E" w:rsidRPr="0022039A" w:rsidRDefault="009D616E" w:rsidP="00390650">
                  <w:pPr>
                    <w:widowControl/>
                    <w:rPr>
                      <w:rFonts w:ascii="標楷體" w:eastAsia="標楷體" w:hAnsi="標楷體" w:cs="Arial"/>
                      <w:color w:val="000000"/>
                      <w:kern w:val="0"/>
                      <w:szCs w:val="24"/>
                    </w:rPr>
                  </w:pPr>
                  <w:r w:rsidRPr="0022039A">
                    <w:rPr>
                      <w:rFonts w:ascii="標楷體" w:eastAsia="標楷體" w:hAnsi="標楷體" w:cs="Arial"/>
                      <w:color w:val="000000"/>
                      <w:kern w:val="0"/>
                      <w:szCs w:val="24"/>
                    </w:rPr>
                    <w:t>高解析質譜測定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7ACA23" w14:textId="75056916" w:rsidR="009D616E" w:rsidRPr="0022039A" w:rsidRDefault="009D616E" w:rsidP="00390650">
                  <w:pPr>
                    <w:widowControl/>
                    <w:jc w:val="right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22039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1200</w:t>
                  </w:r>
                </w:p>
              </w:tc>
              <w:tc>
                <w:tcPr>
                  <w:tcW w:w="66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A97BFB" w14:textId="117123E6" w:rsidR="009D616E" w:rsidRPr="0022039A" w:rsidRDefault="009D616E" w:rsidP="0039065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22039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每件為單位</w:t>
                  </w:r>
                  <w:r>
                    <w:rPr>
                      <w:rFonts w:ascii="Times New Roman" w:eastAsia="標楷體" w:hAnsi="Times New Roman" w:cs="Times New Roman" w:hint="eastAsia"/>
                      <w:kern w:val="0"/>
                    </w:rPr>
                    <w:t>，學界每件</w:t>
                  </w:r>
                  <w:r>
                    <w:rPr>
                      <w:rFonts w:ascii="Times New Roman" w:eastAsia="標楷體" w:hAnsi="Times New Roman" w:cs="Times New Roman"/>
                      <w:kern w:val="0"/>
                    </w:rPr>
                    <w:t>960</w:t>
                  </w:r>
                  <w:r>
                    <w:rPr>
                      <w:rFonts w:ascii="Times New Roman" w:eastAsia="標楷體" w:hAnsi="Times New Roman" w:cs="Times New Roman" w:hint="eastAsia"/>
                      <w:kern w:val="0"/>
                    </w:rPr>
                    <w:t>元</w:t>
                  </w:r>
                </w:p>
              </w:tc>
            </w:tr>
            <w:tr w:rsidR="009D616E" w:rsidRPr="0022039A" w14:paraId="5E5DA9B0" w14:textId="77777777" w:rsidTr="00527CA9">
              <w:trPr>
                <w:gridAfter w:val="1"/>
                <w:wAfter w:w="76" w:type="dxa"/>
                <w:trHeight w:val="405"/>
              </w:trPr>
              <w:tc>
                <w:tcPr>
                  <w:tcW w:w="24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38C784B" w14:textId="77777777" w:rsidR="009D616E" w:rsidRPr="0022039A" w:rsidRDefault="009D616E" w:rsidP="00390650">
                  <w:pPr>
                    <w:widowControl/>
                    <w:rPr>
                      <w:rFonts w:ascii="標楷體" w:eastAsia="標楷體" w:hAnsi="標楷體" w:cs="Arial"/>
                      <w:color w:val="000000"/>
                      <w:kern w:val="0"/>
                      <w:szCs w:val="24"/>
                    </w:rPr>
                  </w:pPr>
                  <w:r w:rsidRPr="0022039A">
                    <w:rPr>
                      <w:rFonts w:ascii="標楷體" w:eastAsia="標楷體" w:hAnsi="標楷體" w:cs="Arial"/>
                      <w:color w:val="000000"/>
                      <w:kern w:val="0"/>
                      <w:szCs w:val="24"/>
                    </w:rPr>
                    <w:t>LC_DAD儀器測定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EF843A" w14:textId="5115E063" w:rsidR="009D616E" w:rsidRPr="0022039A" w:rsidRDefault="009D616E" w:rsidP="00390650">
                  <w:pPr>
                    <w:widowControl/>
                    <w:jc w:val="right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22039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450</w:t>
                  </w:r>
                </w:p>
              </w:tc>
              <w:tc>
                <w:tcPr>
                  <w:tcW w:w="66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B07AA4" w14:textId="039582EC" w:rsidR="009D616E" w:rsidRPr="0022039A" w:rsidRDefault="009D616E" w:rsidP="0039065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22039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半小時為單位</w:t>
                  </w:r>
                </w:p>
              </w:tc>
            </w:tr>
            <w:tr w:rsidR="009D616E" w:rsidRPr="0022039A" w14:paraId="0B8DA90C" w14:textId="77777777" w:rsidTr="00527CA9">
              <w:trPr>
                <w:gridAfter w:val="1"/>
                <w:wAfter w:w="76" w:type="dxa"/>
                <w:trHeight w:val="405"/>
              </w:trPr>
              <w:tc>
                <w:tcPr>
                  <w:tcW w:w="24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A43A30C" w14:textId="77777777" w:rsidR="009D616E" w:rsidRPr="0022039A" w:rsidRDefault="009D616E" w:rsidP="00390650">
                  <w:pPr>
                    <w:widowControl/>
                    <w:rPr>
                      <w:rFonts w:ascii="標楷體" w:eastAsia="標楷體" w:hAnsi="標楷體" w:cs="Arial"/>
                      <w:color w:val="000000"/>
                      <w:kern w:val="0"/>
                      <w:szCs w:val="24"/>
                    </w:rPr>
                  </w:pPr>
                  <w:r w:rsidRPr="0022039A">
                    <w:rPr>
                      <w:rFonts w:ascii="標楷體" w:eastAsia="標楷體" w:hAnsi="標楷體" w:cs="Arial"/>
                      <w:color w:val="000000"/>
                      <w:kern w:val="0"/>
                      <w:szCs w:val="24"/>
                    </w:rPr>
                    <w:t>400 MHz NMR</w:t>
                  </w:r>
                  <w:r w:rsidRPr="0022039A">
                    <w:rPr>
                      <w:rFonts w:ascii="標楷體" w:eastAsia="標楷體" w:hAnsi="標楷體" w:cs="Arial" w:hint="eastAsia"/>
                      <w:color w:val="000000"/>
                      <w:kern w:val="0"/>
                      <w:szCs w:val="24"/>
                    </w:rPr>
                    <w:t>測定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D2E298" w14:textId="4CF56DB8" w:rsidR="009D616E" w:rsidRPr="0088235F" w:rsidRDefault="009D616E" w:rsidP="00390650">
                  <w:pPr>
                    <w:widowControl/>
                    <w:jc w:val="right"/>
                    <w:rPr>
                      <w:rFonts w:ascii="標楷體" w:eastAsia="標楷體" w:hAnsi="標楷體" w:cs="新細明體"/>
                      <w:color w:val="FF0000"/>
                      <w:kern w:val="0"/>
                      <w:szCs w:val="24"/>
                    </w:rPr>
                  </w:pPr>
                  <w:r w:rsidRPr="0022039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1050</w:t>
                  </w:r>
                </w:p>
              </w:tc>
              <w:tc>
                <w:tcPr>
                  <w:tcW w:w="66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4BB5E2" w14:textId="6CE9BB23" w:rsidR="009D616E" w:rsidRPr="001265C2" w:rsidRDefault="009D616E" w:rsidP="0039065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22039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半小時為單位 每半小時追加225元</w:t>
                  </w:r>
                </w:p>
              </w:tc>
            </w:tr>
            <w:tr w:rsidR="009D616E" w:rsidRPr="0022039A" w14:paraId="4BC56D8D" w14:textId="77777777" w:rsidTr="00527CA9">
              <w:trPr>
                <w:gridAfter w:val="1"/>
                <w:wAfter w:w="76" w:type="dxa"/>
                <w:trHeight w:val="405"/>
              </w:trPr>
              <w:tc>
                <w:tcPr>
                  <w:tcW w:w="24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49AF445" w14:textId="77777777" w:rsidR="009D616E" w:rsidRPr="0022039A" w:rsidRDefault="009D616E" w:rsidP="00390650">
                  <w:pPr>
                    <w:widowControl/>
                    <w:rPr>
                      <w:rFonts w:ascii="標楷體" w:eastAsia="標楷體" w:hAnsi="標楷體" w:cs="Arial"/>
                      <w:color w:val="000000"/>
                      <w:kern w:val="0"/>
                      <w:szCs w:val="24"/>
                    </w:rPr>
                  </w:pPr>
                  <w:r w:rsidRPr="0022039A">
                    <w:rPr>
                      <w:rFonts w:ascii="標楷體" w:eastAsia="標楷體" w:hAnsi="標楷體" w:cs="Arial"/>
                      <w:color w:val="000000"/>
                      <w:kern w:val="0"/>
                      <w:szCs w:val="24"/>
                    </w:rPr>
                    <w:t>600 MHz NMR測定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99DCC6" w14:textId="3AA64400" w:rsidR="009D616E" w:rsidRPr="0088235F" w:rsidRDefault="009D616E" w:rsidP="0088235F">
                  <w:pPr>
                    <w:widowControl/>
                    <w:jc w:val="right"/>
                    <w:rPr>
                      <w:rFonts w:ascii="標楷體" w:eastAsia="標楷體" w:hAnsi="標楷體" w:cs="新細明體"/>
                      <w:color w:val="FF0000"/>
                      <w:kern w:val="0"/>
                      <w:szCs w:val="24"/>
                    </w:rPr>
                  </w:pPr>
                  <w:r w:rsidRPr="0022039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1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2</w:t>
                  </w:r>
                  <w:r w:rsidRPr="0022039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00</w:t>
                  </w:r>
                </w:p>
              </w:tc>
              <w:tc>
                <w:tcPr>
                  <w:tcW w:w="66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B76C60" w14:textId="619C0DF4" w:rsidR="009D616E" w:rsidRPr="001265C2" w:rsidRDefault="009D616E" w:rsidP="0039065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22039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半小時為單位 每半小時追加300元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，學界960</w:t>
                  </w:r>
                  <w:r w:rsidRPr="0022039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元</w:t>
                  </w:r>
                </w:p>
              </w:tc>
            </w:tr>
            <w:tr w:rsidR="009D616E" w:rsidRPr="0022039A" w14:paraId="2EE0231F" w14:textId="77777777" w:rsidTr="00527CA9">
              <w:trPr>
                <w:gridAfter w:val="1"/>
                <w:wAfter w:w="76" w:type="dxa"/>
                <w:trHeight w:val="405"/>
              </w:trPr>
              <w:tc>
                <w:tcPr>
                  <w:tcW w:w="24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008896B" w14:textId="5287A068" w:rsidR="009D616E" w:rsidRPr="006070CB" w:rsidRDefault="009D616E" w:rsidP="00FA04BE">
                  <w:pPr>
                    <w:widowControl/>
                    <w:rPr>
                      <w:rFonts w:ascii="標楷體" w:eastAsia="標楷體" w:hAnsi="標楷體" w:cs="Arial"/>
                      <w:color w:val="000000"/>
                      <w:kern w:val="0"/>
                      <w:szCs w:val="24"/>
                    </w:rPr>
                  </w:pPr>
                  <w:r w:rsidRPr="006070CB">
                    <w:rPr>
                      <w:rFonts w:ascii="標楷體" w:eastAsia="標楷體" w:hAnsi="標楷體" w:cs="Arial"/>
                      <w:color w:val="000000"/>
                      <w:kern w:val="0"/>
                      <w:szCs w:val="24"/>
                    </w:rPr>
                    <w:t>LC-</w:t>
                  </w:r>
                  <w:r w:rsidRPr="006070CB">
                    <w:rPr>
                      <w:rFonts w:ascii="標楷體" w:eastAsia="標楷體" w:hAnsi="標楷體" w:cs="Arial" w:hint="eastAsia"/>
                      <w:color w:val="000000"/>
                      <w:kern w:val="0"/>
                      <w:szCs w:val="24"/>
                    </w:rPr>
                    <w:t>CC</w:t>
                  </w:r>
                  <w:r w:rsidRPr="006070CB">
                    <w:rPr>
                      <w:rFonts w:ascii="標楷體" w:eastAsia="標楷體" w:hAnsi="標楷體" w:cs="Arial"/>
                      <w:color w:val="000000"/>
                      <w:kern w:val="0"/>
                      <w:szCs w:val="24"/>
                    </w:rPr>
                    <w:t>-NMR</w:t>
                  </w:r>
                  <w:r w:rsidRPr="006070CB">
                    <w:rPr>
                      <w:rFonts w:ascii="標楷體" w:eastAsia="標楷體" w:hAnsi="標楷體" w:cs="Arial" w:hint="eastAsia"/>
                      <w:color w:val="000000"/>
                      <w:kern w:val="0"/>
                      <w:szCs w:val="24"/>
                    </w:rPr>
                    <w:t>儀器測定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8CCDDA" w14:textId="61EA6971" w:rsidR="009D616E" w:rsidRPr="006070CB" w:rsidRDefault="009D616E" w:rsidP="0007642C">
                  <w:pPr>
                    <w:widowControl/>
                    <w:jc w:val="right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6070C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1300</w:t>
                  </w:r>
                </w:p>
              </w:tc>
              <w:tc>
                <w:tcPr>
                  <w:tcW w:w="66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C1E0F6" w14:textId="2D2A3CFC" w:rsidR="009D616E" w:rsidRPr="006070CB" w:rsidRDefault="009D616E" w:rsidP="0039065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6070C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半小時為單位，依成份複雜度調整收費</w:t>
                  </w:r>
                </w:p>
              </w:tc>
            </w:tr>
            <w:tr w:rsidR="009D616E" w:rsidRPr="0022039A" w14:paraId="25A357B7" w14:textId="77777777" w:rsidTr="000C115A">
              <w:trPr>
                <w:gridAfter w:val="1"/>
                <w:wAfter w:w="76" w:type="dxa"/>
                <w:trHeight w:val="405"/>
              </w:trPr>
              <w:tc>
                <w:tcPr>
                  <w:tcW w:w="24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7B0295C" w14:textId="2287999C" w:rsidR="009D616E" w:rsidRPr="006070CB" w:rsidRDefault="009D616E" w:rsidP="00390650">
                  <w:pPr>
                    <w:widowControl/>
                    <w:rPr>
                      <w:rFonts w:ascii="標楷體" w:eastAsia="標楷體" w:hAnsi="標楷體" w:cs="Arial"/>
                      <w:color w:val="000000"/>
                      <w:kern w:val="0"/>
                      <w:szCs w:val="24"/>
                    </w:rPr>
                  </w:pPr>
                  <w:r w:rsidRPr="006070CB">
                    <w:rPr>
                      <w:rFonts w:ascii="標楷體" w:eastAsia="標楷體" w:hAnsi="標楷體" w:cs="Arial"/>
                      <w:color w:val="000000"/>
                      <w:kern w:val="0"/>
                      <w:szCs w:val="24"/>
                    </w:rPr>
                    <w:t>LC-MS</w:t>
                  </w:r>
                  <w:r w:rsidRPr="006070CB">
                    <w:rPr>
                      <w:rFonts w:ascii="標楷體" w:eastAsia="標楷體" w:hAnsi="標楷體" w:cs="Arial" w:hint="eastAsia"/>
                      <w:color w:val="000000"/>
                      <w:kern w:val="0"/>
                      <w:szCs w:val="24"/>
                    </w:rPr>
                    <w:t>儀器測定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2FAB1A" w14:textId="442E1DCA" w:rsidR="009D616E" w:rsidRPr="006070CB" w:rsidRDefault="009D616E" w:rsidP="0088235F">
                  <w:pPr>
                    <w:widowControl/>
                    <w:jc w:val="right"/>
                    <w:rPr>
                      <w:rFonts w:ascii="標楷體" w:eastAsia="標楷體" w:hAnsi="標楷體" w:cs="新細明體"/>
                      <w:color w:val="FF0000"/>
                      <w:kern w:val="0"/>
                      <w:szCs w:val="24"/>
                    </w:rPr>
                  </w:pPr>
                  <w:r w:rsidRPr="006070CB">
                    <w:rPr>
                      <w:rFonts w:ascii="標楷體" w:eastAsia="標楷體" w:hAnsi="標楷體" w:hint="eastAsia"/>
                    </w:rPr>
                    <w:t>3000</w:t>
                  </w:r>
                </w:p>
              </w:tc>
              <w:tc>
                <w:tcPr>
                  <w:tcW w:w="66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C3E7DF" w14:textId="19336AA5" w:rsidR="009D616E" w:rsidRPr="006070CB" w:rsidRDefault="009D616E" w:rsidP="0039065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6070CB">
                    <w:rPr>
                      <w:rFonts w:ascii="標楷體" w:eastAsia="標楷體" w:hAnsi="標楷體" w:hint="eastAsia"/>
                    </w:rPr>
                    <w:t>一小時為單位，依成份複雜度調整收費，訂價每筆資料三個peak，單筆資料須超過1小時則另行討論儀器分析費和資料處理費</w:t>
                  </w:r>
                </w:p>
              </w:tc>
            </w:tr>
            <w:tr w:rsidR="009D616E" w:rsidRPr="0022039A" w14:paraId="249AF643" w14:textId="77777777" w:rsidTr="000C115A">
              <w:trPr>
                <w:gridAfter w:val="1"/>
                <w:wAfter w:w="76" w:type="dxa"/>
                <w:trHeight w:val="405"/>
              </w:trPr>
              <w:tc>
                <w:tcPr>
                  <w:tcW w:w="24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668CB25" w14:textId="6757722F" w:rsidR="009D616E" w:rsidRPr="006070CB" w:rsidRDefault="009D616E" w:rsidP="00390650">
                  <w:pPr>
                    <w:widowControl/>
                    <w:rPr>
                      <w:rFonts w:ascii="標楷體" w:eastAsia="標楷體" w:hAnsi="標楷體" w:cs="Arial"/>
                      <w:color w:val="000000"/>
                      <w:kern w:val="0"/>
                      <w:szCs w:val="24"/>
                    </w:rPr>
                  </w:pPr>
                  <w:r w:rsidRPr="006070CB">
                    <w:rPr>
                      <w:rFonts w:ascii="標楷體" w:eastAsia="標楷體" w:hAnsi="標楷體" w:cs="Arial"/>
                      <w:color w:val="000000"/>
                      <w:kern w:val="0"/>
                      <w:szCs w:val="24"/>
                    </w:rPr>
                    <w:t>LC-HRMS儀器測</w:t>
                  </w:r>
                  <w:r w:rsidRPr="006070CB">
                    <w:rPr>
                      <w:rFonts w:ascii="標楷體" w:eastAsia="標楷體" w:hAnsi="標楷體" w:cs="Arial" w:hint="eastAsia"/>
                      <w:color w:val="000000"/>
                      <w:kern w:val="0"/>
                      <w:szCs w:val="24"/>
                    </w:rPr>
                    <w:t>定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D45FEBD" w14:textId="5E076510" w:rsidR="009D616E" w:rsidRPr="006070CB" w:rsidRDefault="009D616E" w:rsidP="0088235F">
                  <w:pPr>
                    <w:widowControl/>
                    <w:jc w:val="right"/>
                    <w:rPr>
                      <w:rFonts w:ascii="標楷體" w:eastAsia="標楷體" w:hAnsi="標楷體" w:cs="新細明體"/>
                      <w:color w:val="FF0000"/>
                      <w:kern w:val="0"/>
                      <w:szCs w:val="24"/>
                    </w:rPr>
                  </w:pPr>
                  <w:r w:rsidRPr="006070CB">
                    <w:rPr>
                      <w:rFonts w:ascii="標楷體" w:eastAsia="標楷體" w:hAnsi="標楷體" w:hint="eastAsia"/>
                    </w:rPr>
                    <w:t>3000</w:t>
                  </w:r>
                </w:p>
              </w:tc>
              <w:tc>
                <w:tcPr>
                  <w:tcW w:w="66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4A90A0" w14:textId="59829028" w:rsidR="009D616E" w:rsidRPr="006070CB" w:rsidRDefault="009D616E" w:rsidP="0039065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6070CB">
                    <w:rPr>
                      <w:rFonts w:ascii="標楷體" w:eastAsia="標楷體" w:hAnsi="標楷體" w:hint="eastAsia"/>
                    </w:rPr>
                    <w:t>半小時為單位，訂價每筆資料2個peak收3000元，超過一個peak之後每</w:t>
                  </w:r>
                  <w:proofErr w:type="gramStart"/>
                  <w:r w:rsidRPr="006070CB">
                    <w:rPr>
                      <w:rFonts w:ascii="標楷體" w:eastAsia="標楷體" w:hAnsi="標楷體" w:hint="eastAsia"/>
                    </w:rPr>
                    <w:t>個</w:t>
                  </w:r>
                  <w:proofErr w:type="gramEnd"/>
                  <w:r w:rsidRPr="006070CB">
                    <w:rPr>
                      <w:rFonts w:ascii="標楷體" w:eastAsia="標楷體" w:hAnsi="標楷體" w:hint="eastAsia"/>
                    </w:rPr>
                    <w:t>peak收1000元</w:t>
                  </w:r>
                </w:p>
              </w:tc>
            </w:tr>
            <w:tr w:rsidR="00DA6522" w:rsidRPr="0022039A" w14:paraId="72917754" w14:textId="77777777" w:rsidTr="00527CA9">
              <w:trPr>
                <w:gridAfter w:val="1"/>
                <w:wAfter w:w="76" w:type="dxa"/>
                <w:trHeight w:val="405"/>
              </w:trPr>
              <w:tc>
                <w:tcPr>
                  <w:tcW w:w="24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C60F10" w14:textId="77777777" w:rsidR="00527CA9" w:rsidRPr="006070CB" w:rsidRDefault="00527CA9" w:rsidP="007134CF">
                  <w:pPr>
                    <w:widowControl/>
                    <w:rPr>
                      <w:rFonts w:ascii="標楷體" w:eastAsia="標楷體" w:hAnsi="標楷體" w:cs="Arial"/>
                      <w:color w:val="000000"/>
                      <w:kern w:val="0"/>
                      <w:szCs w:val="24"/>
                    </w:rPr>
                  </w:pPr>
                  <w:r w:rsidRPr="006070CB">
                    <w:rPr>
                      <w:rFonts w:ascii="標楷體" w:eastAsia="標楷體" w:hAnsi="標楷體" w:cs="Arial"/>
                      <w:color w:val="000000"/>
                      <w:kern w:val="0"/>
                      <w:szCs w:val="24"/>
                    </w:rPr>
                    <w:t>化學成份分析研究</w:t>
                  </w:r>
                </w:p>
                <w:p w14:paraId="0B3CAF22" w14:textId="77777777" w:rsidR="00527CA9" w:rsidRPr="006070CB" w:rsidRDefault="00527CA9" w:rsidP="007134CF">
                  <w:pPr>
                    <w:widowControl/>
                    <w:rPr>
                      <w:rFonts w:ascii="標楷體" w:eastAsia="標楷體" w:hAnsi="標楷體" w:cs="Arial"/>
                      <w:color w:val="000000"/>
                      <w:kern w:val="0"/>
                      <w:szCs w:val="24"/>
                    </w:rPr>
                  </w:pPr>
                  <w:r w:rsidRPr="006070CB">
                    <w:rPr>
                      <w:rFonts w:ascii="標楷體" w:eastAsia="標楷體" w:hAnsi="標楷體" w:cs="Arial" w:hint="eastAsia"/>
                      <w:color w:val="000000"/>
                      <w:kern w:val="0"/>
                      <w:szCs w:val="24"/>
                    </w:rPr>
                    <w:t>(中草藥成分分析)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5B6ABA" w14:textId="77777777" w:rsidR="00B158BF" w:rsidRPr="006070CB" w:rsidRDefault="006229A3" w:rsidP="007134CF">
                  <w:pPr>
                    <w:widowControl/>
                    <w:jc w:val="right"/>
                    <w:rPr>
                      <w:rFonts w:ascii="標楷體" w:eastAsia="標楷體" w:hAnsi="標楷體" w:cs="新細明體"/>
                      <w:color w:val="FF0000"/>
                      <w:kern w:val="0"/>
                      <w:szCs w:val="24"/>
                    </w:rPr>
                  </w:pPr>
                  <w:r w:rsidRPr="006070CB">
                    <w:rPr>
                      <w:rFonts w:ascii="標楷體" w:eastAsia="標楷體" w:hAnsi="標楷體" w:cs="新細明體" w:hint="eastAsia"/>
                      <w:color w:val="FF0000"/>
                      <w:kern w:val="0"/>
                      <w:szCs w:val="24"/>
                    </w:rPr>
                    <w:t>初</w:t>
                  </w:r>
                  <w:r w:rsidR="00527CA9" w:rsidRPr="006070CB">
                    <w:rPr>
                      <w:rFonts w:ascii="標楷體" w:eastAsia="標楷體" w:hAnsi="標楷體" w:cs="新細明體" w:hint="eastAsia"/>
                      <w:color w:val="FF0000"/>
                      <w:kern w:val="0"/>
                      <w:szCs w:val="24"/>
                    </w:rPr>
                    <w:t>估</w:t>
                  </w:r>
                </w:p>
                <w:p w14:paraId="2C2A0AB8" w14:textId="31A9302F" w:rsidR="00B158BF" w:rsidRPr="006070CB" w:rsidRDefault="00B158BF" w:rsidP="00B158BF">
                  <w:pPr>
                    <w:jc w:val="right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6070CB">
                    <w:rPr>
                      <w:rFonts w:ascii="標楷體" w:eastAsia="標楷體" w:hAnsi="標楷體" w:hint="eastAsia"/>
                      <w:color w:val="000000"/>
                    </w:rPr>
                    <w:t>77,</w:t>
                  </w:r>
                  <w:r w:rsidR="0007642C" w:rsidRPr="006070CB">
                    <w:rPr>
                      <w:rFonts w:ascii="標楷體" w:eastAsia="標楷體" w:hAnsi="標楷體" w:hint="eastAsia"/>
                      <w:color w:val="000000"/>
                    </w:rPr>
                    <w:t>3</w:t>
                  </w:r>
                  <w:r w:rsidRPr="006070CB">
                    <w:rPr>
                      <w:rFonts w:ascii="標楷體" w:eastAsia="標楷體" w:hAnsi="標楷體" w:hint="eastAsia"/>
                      <w:color w:val="000000"/>
                    </w:rPr>
                    <w:t>00</w:t>
                  </w:r>
                </w:p>
                <w:p w14:paraId="3217686B" w14:textId="301A2D52" w:rsidR="00527CA9" w:rsidRPr="006070CB" w:rsidRDefault="00527CA9" w:rsidP="007134CF">
                  <w:pPr>
                    <w:widowControl/>
                    <w:jc w:val="right"/>
                    <w:rPr>
                      <w:rFonts w:ascii="標楷體" w:eastAsia="標楷體" w:hAnsi="標楷體" w:cs="新細明體"/>
                      <w:color w:val="FF0000"/>
                      <w:kern w:val="0"/>
                      <w:szCs w:val="24"/>
                    </w:rPr>
                  </w:pPr>
                </w:p>
              </w:tc>
              <w:tc>
                <w:tcPr>
                  <w:tcW w:w="66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0DAC22" w14:textId="56974C47" w:rsidR="00527CA9" w:rsidRPr="006070CB" w:rsidRDefault="00527CA9" w:rsidP="007134C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6070C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中草藥成分分析，在LC優化條件下預估</w:t>
                  </w:r>
                  <w:r w:rsidR="006229A3" w:rsidRPr="006070C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重複</w:t>
                  </w:r>
                  <w:r w:rsidRPr="006070C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收集6隻peaks，依照</w:t>
                  </w:r>
                  <w:r w:rsidRPr="006070CB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600 MHz NMR</w:t>
                  </w:r>
                  <w:r w:rsidR="00271E4C" w:rsidRPr="006070C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、</w:t>
                  </w:r>
                  <w:proofErr w:type="gramStart"/>
                  <w:r w:rsidR="00271E4C" w:rsidRPr="006070C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質譜</w:t>
                  </w:r>
                  <w:r w:rsidRPr="006070C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等</w:t>
                  </w:r>
                  <w:r w:rsidRPr="006070CB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測定</w:t>
                  </w:r>
                  <w:proofErr w:type="gramEnd"/>
                  <w:r w:rsidRPr="006070C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進行結構解析，實際收費依成份複雜度調整收費(</w:t>
                  </w:r>
                  <w:r w:rsidRPr="006070CB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LC_DAD</w:t>
                  </w:r>
                  <w:r w:rsidRPr="006070C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、</w:t>
                  </w:r>
                  <w:r w:rsidRPr="006070CB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 xml:space="preserve"> LC-MS</w:t>
                  </w:r>
                  <w:r w:rsidRPr="006070C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、</w:t>
                  </w:r>
                  <w:r w:rsidRPr="006070CB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 xml:space="preserve"> LC-</w:t>
                  </w:r>
                  <w:r w:rsidRPr="006070C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CCC</w:t>
                  </w:r>
                  <w:r w:rsidRPr="006070CB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-NMR</w:t>
                  </w:r>
                  <w:r w:rsidRPr="006070C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儀器測定、</w:t>
                  </w:r>
                  <w:r w:rsidRPr="006070CB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600 MHz NMR測定</w:t>
                  </w:r>
                  <w:r w:rsidRPr="006070C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、結構解析)</w:t>
                  </w:r>
                  <w:r w:rsidR="00E0498B" w:rsidRPr="006070CB"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="00E0498B" w:rsidRPr="006070C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，會員須提供LC圖譜</w:t>
                  </w:r>
                </w:p>
              </w:tc>
            </w:tr>
            <w:tr w:rsidR="00390650" w:rsidRPr="0022039A" w14:paraId="46019AD1" w14:textId="77777777" w:rsidTr="00527CA9">
              <w:trPr>
                <w:gridAfter w:val="1"/>
                <w:wAfter w:w="76" w:type="dxa"/>
                <w:trHeight w:val="405"/>
              </w:trPr>
              <w:tc>
                <w:tcPr>
                  <w:tcW w:w="24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458363F" w14:textId="77777777" w:rsidR="00691C67" w:rsidRDefault="00390650" w:rsidP="00390650">
                  <w:pPr>
                    <w:widowControl/>
                    <w:rPr>
                      <w:rFonts w:ascii="標楷體" w:eastAsia="標楷體" w:hAnsi="標楷體" w:cs="Arial"/>
                      <w:color w:val="000000"/>
                      <w:kern w:val="0"/>
                      <w:szCs w:val="24"/>
                    </w:rPr>
                  </w:pPr>
                  <w:r w:rsidRPr="0022039A">
                    <w:rPr>
                      <w:rFonts w:ascii="標楷體" w:eastAsia="標楷體" w:hAnsi="標楷體" w:cs="Arial"/>
                      <w:color w:val="000000"/>
                      <w:kern w:val="0"/>
                      <w:szCs w:val="24"/>
                    </w:rPr>
                    <w:t>化學成份分析研究</w:t>
                  </w:r>
                </w:p>
                <w:p w14:paraId="67E61B4A" w14:textId="7BF92704" w:rsidR="00390650" w:rsidRPr="0022039A" w:rsidRDefault="00691C67" w:rsidP="00390650">
                  <w:pPr>
                    <w:widowControl/>
                    <w:rPr>
                      <w:rFonts w:ascii="標楷體" w:eastAsia="標楷體" w:hAnsi="標楷體" w:cs="Arial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kern w:val="0"/>
                      <w:szCs w:val="24"/>
                    </w:rPr>
                    <w:t>(</w:t>
                  </w:r>
                  <w:r w:rsidR="00527CA9">
                    <w:rPr>
                      <w:rFonts w:ascii="標楷體" w:eastAsia="標楷體" w:hAnsi="標楷體" w:cs="Arial" w:hint="eastAsia"/>
                      <w:color w:val="000000"/>
                      <w:kern w:val="0"/>
                      <w:szCs w:val="24"/>
                    </w:rPr>
                    <w:t>藥品</w:t>
                  </w:r>
                  <w:proofErr w:type="gramStart"/>
                  <w:r w:rsidR="00527CA9">
                    <w:rPr>
                      <w:rFonts w:ascii="標楷體" w:eastAsia="標楷體" w:hAnsi="標楷體" w:cs="Arial" w:hint="eastAsia"/>
                      <w:color w:val="000000"/>
                      <w:kern w:val="0"/>
                      <w:szCs w:val="24"/>
                    </w:rPr>
                    <w:t>不純物</w:t>
                  </w:r>
                  <w:r>
                    <w:rPr>
                      <w:rFonts w:ascii="標楷體" w:eastAsia="標楷體" w:hAnsi="標楷體" w:cs="Arial" w:hint="eastAsia"/>
                      <w:color w:val="000000"/>
                      <w:kern w:val="0"/>
                      <w:szCs w:val="24"/>
                    </w:rPr>
                    <w:t>成分</w:t>
                  </w:r>
                  <w:proofErr w:type="gramEnd"/>
                  <w:r>
                    <w:rPr>
                      <w:rFonts w:ascii="標楷體" w:eastAsia="標楷體" w:hAnsi="標楷體" w:cs="Arial" w:hint="eastAsia"/>
                      <w:color w:val="000000"/>
                      <w:kern w:val="0"/>
                      <w:szCs w:val="24"/>
                    </w:rPr>
                    <w:t>分析)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B1DF02" w14:textId="1B014CC3" w:rsidR="00390650" w:rsidRPr="0088235F" w:rsidRDefault="006229A3" w:rsidP="0007642C">
                  <w:pPr>
                    <w:widowControl/>
                    <w:jc w:val="right"/>
                    <w:rPr>
                      <w:rFonts w:ascii="標楷體" w:eastAsia="標楷體" w:hAnsi="標楷體" w:cs="新細明體"/>
                      <w:color w:val="FF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FF0000"/>
                      <w:kern w:val="0"/>
                      <w:szCs w:val="24"/>
                    </w:rPr>
                    <w:t>初</w:t>
                  </w:r>
                  <w:r w:rsidR="00691C67">
                    <w:rPr>
                      <w:rFonts w:ascii="標楷體" w:eastAsia="標楷體" w:hAnsi="標楷體" w:cs="新細明體" w:hint="eastAsia"/>
                      <w:color w:val="FF0000"/>
                      <w:kern w:val="0"/>
                      <w:szCs w:val="24"/>
                    </w:rPr>
                    <w:t>估</w:t>
                  </w:r>
                  <w:r w:rsidR="00B158BF" w:rsidRPr="00B158BF">
                    <w:rPr>
                      <w:rFonts w:ascii="標楷體" w:eastAsia="標楷體" w:hAnsi="標楷體" w:cs="新細明體"/>
                      <w:color w:val="FF0000"/>
                      <w:kern w:val="0"/>
                      <w:szCs w:val="24"/>
                    </w:rPr>
                    <w:t>72</w:t>
                  </w:r>
                  <w:r w:rsidR="00B158BF">
                    <w:rPr>
                      <w:rFonts w:ascii="標楷體" w:eastAsia="標楷體" w:hAnsi="標楷體" w:cs="新細明體" w:hint="eastAsia"/>
                      <w:color w:val="FF0000"/>
                      <w:kern w:val="0"/>
                      <w:szCs w:val="24"/>
                    </w:rPr>
                    <w:t>,</w:t>
                  </w:r>
                  <w:r w:rsidR="0007642C">
                    <w:rPr>
                      <w:rFonts w:ascii="標楷體" w:eastAsia="標楷體" w:hAnsi="標楷體" w:cs="新細明體" w:hint="eastAsia"/>
                      <w:color w:val="FF0000"/>
                      <w:kern w:val="0"/>
                      <w:szCs w:val="24"/>
                    </w:rPr>
                    <w:t>2</w:t>
                  </w:r>
                  <w:r w:rsidR="00B158BF" w:rsidRPr="00B158BF">
                    <w:rPr>
                      <w:rFonts w:ascii="標楷體" w:eastAsia="標楷體" w:hAnsi="標楷體" w:cs="新細明體"/>
                      <w:color w:val="FF0000"/>
                      <w:kern w:val="0"/>
                      <w:szCs w:val="24"/>
                    </w:rPr>
                    <w:t>50</w:t>
                  </w:r>
                </w:p>
              </w:tc>
              <w:tc>
                <w:tcPr>
                  <w:tcW w:w="66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CDCB6A" w14:textId="2F70E678" w:rsidR="00390650" w:rsidRPr="0022039A" w:rsidRDefault="00527CA9" w:rsidP="00527CA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kern w:val="0"/>
                      <w:szCs w:val="24"/>
                    </w:rPr>
                    <w:t>藥品</w:t>
                  </w:r>
                  <w:proofErr w:type="gramStart"/>
                  <w:r>
                    <w:rPr>
                      <w:rFonts w:ascii="標楷體" w:eastAsia="標楷體" w:hAnsi="標楷體" w:cs="Arial" w:hint="eastAsia"/>
                      <w:color w:val="000000"/>
                      <w:kern w:val="0"/>
                      <w:szCs w:val="24"/>
                    </w:rPr>
                    <w:t>不純物成分</w:t>
                  </w:r>
                  <w:proofErr w:type="gramEnd"/>
                  <w:r>
                    <w:rPr>
                      <w:rFonts w:ascii="標楷體" w:eastAsia="標楷體" w:hAnsi="標楷體" w:cs="Arial" w:hint="eastAsia"/>
                      <w:color w:val="000000"/>
                      <w:kern w:val="0"/>
                      <w:szCs w:val="24"/>
                    </w:rPr>
                    <w:t>分析，</w:t>
                  </w:r>
                  <w:r w:rsidR="006229A3" w:rsidRPr="006229A3">
                    <w:rPr>
                      <w:rFonts w:ascii="標楷體" w:eastAsia="標楷體" w:hAnsi="標楷體" w:cs="Arial" w:hint="eastAsia"/>
                      <w:color w:val="000000"/>
                      <w:kern w:val="0"/>
                      <w:szCs w:val="24"/>
                    </w:rPr>
                    <w:t>藥品</w:t>
                  </w:r>
                  <w:r w:rsidR="006229A3">
                    <w:rPr>
                      <w:rFonts w:ascii="標楷體" w:eastAsia="標楷體" w:hAnsi="標楷體" w:cs="Arial" w:hint="eastAsia"/>
                      <w:color w:val="000000"/>
                      <w:kern w:val="0"/>
                      <w:szCs w:val="24"/>
                    </w:rPr>
                    <w:t>前處理，將</w:t>
                  </w:r>
                  <w:proofErr w:type="gramStart"/>
                  <w:r w:rsidR="006229A3" w:rsidRPr="006229A3">
                    <w:rPr>
                      <w:rFonts w:ascii="標楷體" w:eastAsia="標楷體" w:hAnsi="標楷體" w:cs="Arial" w:hint="eastAsia"/>
                      <w:color w:val="000000"/>
                      <w:kern w:val="0"/>
                      <w:szCs w:val="24"/>
                    </w:rPr>
                    <w:t>不純物</w:t>
                  </w:r>
                  <w:r w:rsidR="006229A3">
                    <w:rPr>
                      <w:rFonts w:ascii="標楷體" w:eastAsia="標楷體" w:hAnsi="標楷體" w:cs="Arial" w:hint="eastAsia"/>
                      <w:color w:val="000000"/>
                      <w:kern w:val="0"/>
                      <w:szCs w:val="24"/>
                    </w:rPr>
                    <w:t>集中</w:t>
                  </w:r>
                  <w:proofErr w:type="gramEnd"/>
                  <w:r w:rsidR="006229A3">
                    <w:rPr>
                      <w:rFonts w:ascii="標楷體" w:eastAsia="標楷體" w:hAnsi="標楷體" w:cs="Arial" w:hint="eastAsia"/>
                      <w:color w:val="000000"/>
                      <w:kern w:val="0"/>
                      <w:szCs w:val="24"/>
                    </w:rPr>
                    <w:t>，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在LC優化條件下</w:t>
                  </w:r>
                  <w:r w:rsidRPr="00527CA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預估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重複</w:t>
                  </w:r>
                  <w:r w:rsidR="00691C6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收集</w:t>
                  </w:r>
                  <w:r w:rsidR="006229A3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3</w:t>
                  </w:r>
                  <w:r w:rsidR="00691C6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隻</w:t>
                  </w:r>
                  <w:proofErr w:type="gramStart"/>
                  <w:r>
                    <w:rPr>
                      <w:rFonts w:ascii="標楷體" w:eastAsia="標楷體" w:hAnsi="標楷體" w:cs="Arial" w:hint="eastAsia"/>
                      <w:color w:val="000000"/>
                      <w:kern w:val="0"/>
                      <w:szCs w:val="24"/>
                    </w:rPr>
                    <w:t>不純物</w:t>
                  </w:r>
                  <w:proofErr w:type="gramEnd"/>
                  <w:r w:rsidR="00691C6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peaks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，依照</w:t>
                  </w:r>
                  <w:r w:rsidRPr="0022039A">
                    <w:rPr>
                      <w:rFonts w:ascii="標楷體" w:eastAsia="標楷體" w:hAnsi="標楷體" w:cs="Arial"/>
                      <w:color w:val="000000"/>
                      <w:kern w:val="0"/>
                      <w:szCs w:val="24"/>
                    </w:rPr>
                    <w:t>600 MHz NMR</w:t>
                  </w:r>
                  <w:r w:rsidRPr="00527CA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、</w:t>
                  </w:r>
                  <w:proofErr w:type="gramStart"/>
                  <w:r w:rsidRPr="0022039A">
                    <w:rPr>
                      <w:rFonts w:ascii="標楷體" w:eastAsia="標楷體" w:hAnsi="標楷體" w:cs="Arial" w:hint="eastAsia"/>
                      <w:color w:val="000000"/>
                      <w:kern w:val="0"/>
                      <w:szCs w:val="24"/>
                    </w:rPr>
                    <w:t>質譜</w:t>
                  </w:r>
                  <w:r>
                    <w:rPr>
                      <w:rFonts w:ascii="標楷體" w:eastAsia="標楷體" w:hAnsi="標楷體" w:cs="Arial" w:hint="eastAsia"/>
                      <w:color w:val="000000"/>
                      <w:kern w:val="0"/>
                      <w:szCs w:val="24"/>
                    </w:rPr>
                    <w:t>等</w:t>
                  </w:r>
                  <w:r w:rsidRPr="0022039A">
                    <w:rPr>
                      <w:rFonts w:ascii="標楷體" w:eastAsia="標楷體" w:hAnsi="標楷體" w:cs="Arial"/>
                      <w:color w:val="000000"/>
                      <w:kern w:val="0"/>
                      <w:szCs w:val="24"/>
                    </w:rPr>
                    <w:t>測定</w:t>
                  </w:r>
                  <w:proofErr w:type="gramEnd"/>
                  <w:r>
                    <w:rPr>
                      <w:rFonts w:ascii="標楷體" w:eastAsia="標楷體" w:hAnsi="標楷體" w:cs="Arial" w:hint="eastAsia"/>
                      <w:color w:val="000000"/>
                      <w:kern w:val="0"/>
                      <w:szCs w:val="24"/>
                    </w:rPr>
                    <w:t>進行</w:t>
                  </w:r>
                  <w:r w:rsidRPr="0022039A">
                    <w:rPr>
                      <w:rFonts w:ascii="標楷體" w:eastAsia="標楷體" w:hAnsi="標楷體" w:cs="Arial" w:hint="eastAsia"/>
                      <w:color w:val="000000"/>
                      <w:kern w:val="0"/>
                      <w:szCs w:val="24"/>
                    </w:rPr>
                    <w:t>結構解析</w:t>
                  </w:r>
                  <w:r>
                    <w:rPr>
                      <w:rFonts w:ascii="標楷體" w:eastAsia="標楷體" w:hAnsi="標楷體" w:cs="Arial" w:hint="eastAsia"/>
                      <w:color w:val="000000"/>
                      <w:kern w:val="0"/>
                      <w:szCs w:val="24"/>
                    </w:rPr>
                    <w:t>，</w:t>
                  </w:r>
                  <w:r w:rsidR="00691C6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實際收費</w:t>
                  </w:r>
                  <w:r w:rsidR="00390650" w:rsidRPr="0022039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依成份複雜度調整收費(</w:t>
                  </w:r>
                  <w:r w:rsidR="00390650" w:rsidRPr="0022039A">
                    <w:rPr>
                      <w:rFonts w:ascii="標楷體" w:eastAsia="標楷體" w:hAnsi="標楷體" w:cs="Arial"/>
                      <w:color w:val="000000"/>
                      <w:kern w:val="0"/>
                      <w:szCs w:val="24"/>
                    </w:rPr>
                    <w:t>LC_DAD</w:t>
                  </w:r>
                  <w:r w:rsidR="00390650" w:rsidRPr="0022039A">
                    <w:rPr>
                      <w:rFonts w:ascii="標楷體" w:eastAsia="標楷體" w:hAnsi="標楷體" w:cs="Arial" w:hint="eastAsia"/>
                      <w:color w:val="000000"/>
                      <w:kern w:val="0"/>
                      <w:szCs w:val="24"/>
                    </w:rPr>
                    <w:t>、</w:t>
                  </w:r>
                  <w:r w:rsidR="00390650" w:rsidRPr="0022039A">
                    <w:rPr>
                      <w:rFonts w:ascii="標楷體" w:eastAsia="標楷體" w:hAnsi="標楷體" w:cs="Arial"/>
                      <w:color w:val="000000"/>
                      <w:kern w:val="0"/>
                      <w:szCs w:val="24"/>
                    </w:rPr>
                    <w:t xml:space="preserve"> LC-MS</w:t>
                  </w:r>
                  <w:r w:rsidR="00390650" w:rsidRPr="0022039A">
                    <w:rPr>
                      <w:rFonts w:ascii="標楷體" w:eastAsia="標楷體" w:hAnsi="標楷體" w:cs="Arial" w:hint="eastAsia"/>
                      <w:color w:val="000000"/>
                      <w:kern w:val="0"/>
                      <w:szCs w:val="24"/>
                    </w:rPr>
                    <w:t>、</w:t>
                  </w:r>
                  <w:r w:rsidR="00390650" w:rsidRPr="0022039A">
                    <w:rPr>
                      <w:rFonts w:ascii="標楷體" w:eastAsia="標楷體" w:hAnsi="標楷體" w:cs="Arial"/>
                      <w:color w:val="000000"/>
                      <w:kern w:val="0"/>
                      <w:szCs w:val="24"/>
                    </w:rPr>
                    <w:t xml:space="preserve"> LC-</w:t>
                  </w:r>
                  <w:r>
                    <w:rPr>
                      <w:rFonts w:ascii="標楷體" w:eastAsia="標楷體" w:hAnsi="標楷體" w:cs="Arial" w:hint="eastAsia"/>
                      <w:color w:val="000000"/>
                      <w:kern w:val="0"/>
                      <w:szCs w:val="24"/>
                    </w:rPr>
                    <w:t>CCC</w:t>
                  </w:r>
                  <w:r w:rsidR="00390650" w:rsidRPr="0022039A">
                    <w:rPr>
                      <w:rFonts w:ascii="標楷體" w:eastAsia="標楷體" w:hAnsi="標楷體" w:cs="Arial"/>
                      <w:color w:val="000000"/>
                      <w:kern w:val="0"/>
                      <w:szCs w:val="24"/>
                    </w:rPr>
                    <w:t>-NMR</w:t>
                  </w:r>
                  <w:r w:rsidR="00390650" w:rsidRPr="0022039A">
                    <w:rPr>
                      <w:rFonts w:ascii="標楷體" w:eastAsia="標楷體" w:hAnsi="標楷體" w:cs="Arial" w:hint="eastAsia"/>
                      <w:color w:val="000000"/>
                      <w:kern w:val="0"/>
                      <w:szCs w:val="24"/>
                    </w:rPr>
                    <w:t>儀器測</w:t>
                  </w:r>
                  <w:r w:rsidRPr="00691C67">
                    <w:rPr>
                      <w:rFonts w:ascii="標楷體" w:eastAsia="標楷體" w:hAnsi="標楷體" w:cs="Arial" w:hint="eastAsia"/>
                      <w:color w:val="000000"/>
                      <w:kern w:val="0"/>
                      <w:szCs w:val="24"/>
                    </w:rPr>
                    <w:t>定</w:t>
                  </w:r>
                  <w:r w:rsidR="00390650" w:rsidRPr="0022039A">
                    <w:rPr>
                      <w:rFonts w:ascii="標楷體" w:eastAsia="標楷體" w:hAnsi="標楷體" w:cs="Arial" w:hint="eastAsia"/>
                      <w:color w:val="000000"/>
                      <w:kern w:val="0"/>
                      <w:szCs w:val="24"/>
                    </w:rPr>
                    <w:t>、</w:t>
                  </w:r>
                  <w:r w:rsidR="00390650" w:rsidRPr="0022039A">
                    <w:rPr>
                      <w:rFonts w:ascii="標楷體" w:eastAsia="標楷體" w:hAnsi="標楷體" w:cs="Arial"/>
                      <w:color w:val="000000"/>
                      <w:kern w:val="0"/>
                      <w:szCs w:val="24"/>
                    </w:rPr>
                    <w:t>600 MHz NMR測定</w:t>
                  </w:r>
                  <w:r w:rsidR="00390650" w:rsidRPr="0022039A">
                    <w:rPr>
                      <w:rFonts w:ascii="標楷體" w:eastAsia="標楷體" w:hAnsi="標楷體" w:cs="Arial" w:hint="eastAsia"/>
                      <w:color w:val="000000"/>
                      <w:kern w:val="0"/>
                      <w:szCs w:val="24"/>
                    </w:rPr>
                    <w:t>、結構解析)</w:t>
                  </w:r>
                  <w:r w:rsidR="00E0498B">
                    <w:rPr>
                      <w:rFonts w:hint="eastAsia"/>
                    </w:rPr>
                    <w:t xml:space="preserve"> </w:t>
                  </w:r>
                  <w:r w:rsidR="00E0498B" w:rsidRPr="00E0498B">
                    <w:rPr>
                      <w:rFonts w:ascii="標楷體" w:eastAsia="標楷體" w:hAnsi="標楷體" w:cs="Arial" w:hint="eastAsia"/>
                      <w:color w:val="000000"/>
                      <w:kern w:val="0"/>
                      <w:szCs w:val="24"/>
                    </w:rPr>
                    <w:t>，會員須提供LC圖譜</w:t>
                  </w:r>
                </w:p>
              </w:tc>
            </w:tr>
            <w:tr w:rsidR="00390650" w:rsidRPr="0022039A" w14:paraId="2FAC2856" w14:textId="77777777" w:rsidTr="00527CA9">
              <w:trPr>
                <w:gridAfter w:val="1"/>
                <w:wAfter w:w="76" w:type="dxa"/>
                <w:trHeight w:val="405"/>
              </w:trPr>
              <w:tc>
                <w:tcPr>
                  <w:tcW w:w="2495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69D20B0" w14:textId="77777777" w:rsidR="00390650" w:rsidRPr="0022039A" w:rsidRDefault="00390650" w:rsidP="00390650">
                  <w:pPr>
                    <w:widowControl/>
                    <w:rPr>
                      <w:rFonts w:ascii="標楷體" w:eastAsia="標楷體" w:hAnsi="標楷體" w:cs="Arial"/>
                      <w:color w:val="000000"/>
                      <w:kern w:val="0"/>
                      <w:szCs w:val="24"/>
                    </w:rPr>
                  </w:pPr>
                  <w:r w:rsidRPr="0022039A">
                    <w:rPr>
                      <w:rFonts w:ascii="標楷體" w:eastAsia="標楷體" w:hAnsi="標楷體" w:cs="Arial"/>
                      <w:color w:val="000000"/>
                      <w:kern w:val="0"/>
                      <w:szCs w:val="24"/>
                    </w:rPr>
                    <w:t>化學成份結構解析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12F00E" w14:textId="77777777" w:rsidR="002B73B2" w:rsidRPr="00B158BF" w:rsidRDefault="006229A3" w:rsidP="00DA6522">
                  <w:pPr>
                    <w:widowControl/>
                    <w:jc w:val="right"/>
                    <w:rPr>
                      <w:rFonts w:ascii="標楷體" w:eastAsia="標楷體" w:hAnsi="標楷體" w:cs="新細明體"/>
                      <w:color w:val="FF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FF0000"/>
                      <w:kern w:val="0"/>
                      <w:szCs w:val="24"/>
                    </w:rPr>
                    <w:t>初</w:t>
                  </w:r>
                  <w:r w:rsidR="00691C67">
                    <w:rPr>
                      <w:rFonts w:ascii="標楷體" w:eastAsia="標楷體" w:hAnsi="標楷體" w:cs="新細明體" w:hint="eastAsia"/>
                      <w:color w:val="FF0000"/>
                      <w:kern w:val="0"/>
                      <w:szCs w:val="24"/>
                    </w:rPr>
                    <w:t>估</w:t>
                  </w:r>
                </w:p>
                <w:p w14:paraId="7A3DE3BC" w14:textId="7EF98038" w:rsidR="002B73B2" w:rsidRDefault="002B73B2" w:rsidP="002B73B2">
                  <w:pPr>
                    <w:jc w:val="right"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22,750</w:t>
                  </w:r>
                </w:p>
                <w:p w14:paraId="14FBD4D6" w14:textId="658FF244" w:rsidR="00390650" w:rsidRPr="0088235F" w:rsidRDefault="00390650" w:rsidP="00DA6522">
                  <w:pPr>
                    <w:widowControl/>
                    <w:jc w:val="right"/>
                    <w:rPr>
                      <w:rFonts w:ascii="標楷體" w:eastAsia="標楷體" w:hAnsi="標楷體" w:cs="新細明體"/>
                      <w:color w:val="FF0000"/>
                      <w:kern w:val="0"/>
                      <w:szCs w:val="24"/>
                    </w:rPr>
                  </w:pPr>
                </w:p>
              </w:tc>
              <w:tc>
                <w:tcPr>
                  <w:tcW w:w="66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20C181" w14:textId="526CF0E0" w:rsidR="00390650" w:rsidRPr="0022039A" w:rsidRDefault="00527CA9" w:rsidP="00527CA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單一未知化合物</w:t>
                  </w:r>
                  <w:r w:rsidR="002B73B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(</w:t>
                  </w:r>
                  <w:r w:rsidR="002B73B2" w:rsidRPr="002B73B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小分子 10mg以上</w:t>
                  </w:r>
                  <w:r w:rsidR="002B73B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)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之</w:t>
                  </w:r>
                  <w:r w:rsidRPr="0022039A">
                    <w:rPr>
                      <w:rFonts w:ascii="標楷體" w:eastAsia="標楷體" w:hAnsi="標楷體" w:cs="Arial"/>
                      <w:color w:val="000000"/>
                      <w:kern w:val="0"/>
                      <w:szCs w:val="24"/>
                    </w:rPr>
                    <w:t>結構解析</w:t>
                  </w:r>
                  <w:r>
                    <w:rPr>
                      <w:rFonts w:ascii="標楷體" w:eastAsia="標楷體" w:hAnsi="標楷體" w:cs="Arial" w:hint="eastAsia"/>
                      <w:color w:val="000000"/>
                      <w:kern w:val="0"/>
                      <w:szCs w:val="24"/>
                    </w:rPr>
                    <w:t>，結合</w:t>
                  </w:r>
                  <w:proofErr w:type="gramStart"/>
                  <w:r>
                    <w:rPr>
                      <w:rFonts w:ascii="標楷體" w:eastAsia="標楷體" w:hAnsi="標楷體" w:cs="Arial" w:hint="eastAsia"/>
                      <w:color w:val="000000"/>
                      <w:kern w:val="0"/>
                      <w:szCs w:val="24"/>
                    </w:rPr>
                    <w:t>氫譜</w:t>
                  </w:r>
                  <w:r w:rsidRPr="0022039A">
                    <w:rPr>
                      <w:rFonts w:ascii="標楷體" w:eastAsia="標楷體" w:hAnsi="標楷體" w:cs="Arial" w:hint="eastAsia"/>
                      <w:color w:val="000000"/>
                      <w:kern w:val="0"/>
                      <w:szCs w:val="24"/>
                    </w:rPr>
                    <w:t>、</w:t>
                  </w:r>
                  <w:r>
                    <w:rPr>
                      <w:rFonts w:ascii="標楷體" w:eastAsia="標楷體" w:hAnsi="標楷體" w:cs="Arial" w:hint="eastAsia"/>
                      <w:color w:val="000000"/>
                      <w:kern w:val="0"/>
                      <w:szCs w:val="24"/>
                    </w:rPr>
                    <w:t>碳譜</w:t>
                  </w:r>
                  <w:r w:rsidRPr="0022039A">
                    <w:rPr>
                      <w:rFonts w:ascii="標楷體" w:eastAsia="標楷體" w:hAnsi="標楷體" w:cs="Arial" w:hint="eastAsia"/>
                      <w:color w:val="000000"/>
                      <w:kern w:val="0"/>
                      <w:szCs w:val="24"/>
                    </w:rPr>
                    <w:t>、</w:t>
                  </w:r>
                  <w:proofErr w:type="gramEnd"/>
                  <w:r>
                    <w:rPr>
                      <w:rFonts w:ascii="標楷體" w:eastAsia="標楷體" w:hAnsi="標楷體" w:cs="Arial" w:hint="eastAsia"/>
                      <w:color w:val="000000"/>
                      <w:kern w:val="0"/>
                      <w:szCs w:val="24"/>
                    </w:rPr>
                    <w:t>2D NMR及</w:t>
                  </w:r>
                  <w:r w:rsidRPr="0022039A">
                    <w:rPr>
                      <w:rFonts w:ascii="標楷體" w:eastAsia="標楷體" w:hAnsi="標楷體" w:cs="Arial" w:hint="eastAsia"/>
                      <w:color w:val="000000"/>
                      <w:kern w:val="0"/>
                      <w:szCs w:val="24"/>
                    </w:rPr>
                    <w:t>高解析質譜解析結構</w:t>
                  </w:r>
                  <w:r>
                    <w:rPr>
                      <w:rFonts w:ascii="標楷體" w:eastAsia="標楷體" w:hAnsi="標楷體" w:cs="Arial" w:hint="eastAsia"/>
                      <w:color w:val="000000"/>
                      <w:kern w:val="0"/>
                      <w:szCs w:val="24"/>
                    </w:rPr>
                    <w:t>，</w:t>
                  </w:r>
                  <w:r w:rsidR="00691C6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實際收費</w:t>
                  </w:r>
                  <w:r w:rsidR="00390650" w:rsidRPr="0022039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依成份複雜度調整收費(</w:t>
                  </w:r>
                  <w:r w:rsidR="00390650" w:rsidRPr="0022039A">
                    <w:rPr>
                      <w:rFonts w:ascii="標楷體" w:eastAsia="標楷體" w:hAnsi="標楷體" w:cs="Arial"/>
                      <w:color w:val="000000"/>
                      <w:kern w:val="0"/>
                      <w:szCs w:val="24"/>
                    </w:rPr>
                    <w:t>600 MHz NMR</w:t>
                  </w:r>
                  <w:r w:rsidR="00691C67" w:rsidRPr="0022039A">
                    <w:rPr>
                      <w:rFonts w:ascii="標楷體" w:eastAsia="標楷體" w:hAnsi="標楷體" w:cs="Arial" w:hint="eastAsia"/>
                      <w:color w:val="000000"/>
                      <w:kern w:val="0"/>
                      <w:szCs w:val="24"/>
                    </w:rPr>
                    <w:t>、</w:t>
                  </w:r>
                  <w:r w:rsidR="00691C67">
                    <w:rPr>
                      <w:rFonts w:ascii="標楷體" w:eastAsia="標楷體" w:hAnsi="標楷體" w:cs="Arial" w:hint="eastAsia"/>
                      <w:color w:val="000000"/>
                      <w:kern w:val="0"/>
                      <w:szCs w:val="24"/>
                    </w:rPr>
                    <w:t>2D</w:t>
                  </w:r>
                  <w:r w:rsidR="00691C67">
                    <w:rPr>
                      <w:rFonts w:ascii="標楷體" w:eastAsia="標楷體" w:hAnsi="標楷體" w:cs="Arial"/>
                      <w:color w:val="000000"/>
                      <w:kern w:val="0"/>
                      <w:szCs w:val="24"/>
                    </w:rPr>
                    <w:t xml:space="preserve"> </w:t>
                  </w:r>
                  <w:r w:rsidR="00691C67" w:rsidRPr="0022039A">
                    <w:rPr>
                      <w:rFonts w:ascii="標楷體" w:eastAsia="標楷體" w:hAnsi="標楷體" w:cs="Arial"/>
                      <w:color w:val="000000"/>
                      <w:kern w:val="0"/>
                      <w:szCs w:val="24"/>
                    </w:rPr>
                    <w:t>NMR</w:t>
                  </w:r>
                  <w:r w:rsidR="00033D12" w:rsidRPr="0022039A">
                    <w:rPr>
                      <w:rFonts w:ascii="標楷體" w:eastAsia="標楷體" w:hAnsi="標楷體" w:cs="Arial" w:hint="eastAsia"/>
                      <w:color w:val="000000"/>
                      <w:kern w:val="0"/>
                      <w:szCs w:val="24"/>
                    </w:rPr>
                    <w:t>、高解析質譜</w:t>
                  </w:r>
                  <w:r w:rsidR="00390650" w:rsidRPr="0022039A">
                    <w:rPr>
                      <w:rFonts w:ascii="標楷體" w:eastAsia="標楷體" w:hAnsi="標楷體" w:cs="Arial"/>
                      <w:color w:val="000000"/>
                      <w:kern w:val="0"/>
                      <w:szCs w:val="24"/>
                    </w:rPr>
                    <w:t>測定</w:t>
                  </w:r>
                  <w:r w:rsidR="00390650" w:rsidRPr="0022039A">
                    <w:rPr>
                      <w:rFonts w:ascii="標楷體" w:eastAsia="標楷體" w:hAnsi="標楷體" w:cs="Arial" w:hint="eastAsia"/>
                      <w:color w:val="000000"/>
                      <w:kern w:val="0"/>
                      <w:szCs w:val="24"/>
                    </w:rPr>
                    <w:t>)</w:t>
                  </w:r>
                </w:p>
              </w:tc>
            </w:tr>
            <w:tr w:rsidR="00546D61" w:rsidRPr="0022039A" w14:paraId="5669525B" w14:textId="77777777" w:rsidTr="00527CA9">
              <w:trPr>
                <w:gridAfter w:val="1"/>
                <w:wAfter w:w="76" w:type="dxa"/>
                <w:trHeight w:val="405"/>
              </w:trPr>
              <w:tc>
                <w:tcPr>
                  <w:tcW w:w="249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A94471A" w14:textId="77777777" w:rsidR="00546D61" w:rsidRPr="0022039A" w:rsidRDefault="00546D61" w:rsidP="00390650">
                  <w:pPr>
                    <w:widowControl/>
                    <w:rPr>
                      <w:rFonts w:ascii="標楷體" w:eastAsia="標楷體" w:hAnsi="標楷體" w:cs="Arial"/>
                      <w:color w:val="000000"/>
                      <w:kern w:val="0"/>
                      <w:szCs w:val="24"/>
                    </w:rPr>
                  </w:pPr>
                  <w:proofErr w:type="spellStart"/>
                  <w:r w:rsidRPr="0022039A">
                    <w:rPr>
                      <w:rFonts w:ascii="標楷體" w:eastAsia="標楷體" w:hAnsi="標楷體" w:cs="Calibri"/>
                      <w:color w:val="000000"/>
                      <w:shd w:val="clear" w:color="auto" w:fill="FFFFFF"/>
                    </w:rPr>
                    <w:t>microfractionation</w:t>
                  </w:r>
                  <w:proofErr w:type="spellEnd"/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78A4D0" w14:textId="77777777" w:rsidR="00546D61" w:rsidRPr="0022039A" w:rsidRDefault="00546D61" w:rsidP="00390650">
                  <w:pPr>
                    <w:widowControl/>
                    <w:jc w:val="right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22039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450</w:t>
                  </w:r>
                </w:p>
              </w:tc>
              <w:tc>
                <w:tcPr>
                  <w:tcW w:w="66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57767D" w14:textId="77777777" w:rsidR="00546D61" w:rsidRPr="0022039A" w:rsidRDefault="00546D61" w:rsidP="0039065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22039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半小時為單位</w:t>
                  </w:r>
                </w:p>
              </w:tc>
            </w:tr>
            <w:tr w:rsidR="00546D61" w:rsidRPr="0022039A" w14:paraId="43F8D2F5" w14:textId="77777777" w:rsidTr="00527CA9">
              <w:trPr>
                <w:gridAfter w:val="1"/>
                <w:wAfter w:w="76" w:type="dxa"/>
                <w:trHeight w:val="405"/>
              </w:trPr>
              <w:tc>
                <w:tcPr>
                  <w:tcW w:w="249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18948B3" w14:textId="77777777" w:rsidR="00546D61" w:rsidRPr="0022039A" w:rsidRDefault="00546D61" w:rsidP="00390650">
                  <w:pPr>
                    <w:widowControl/>
                    <w:rPr>
                      <w:rFonts w:ascii="標楷體" w:eastAsia="標楷體" w:hAnsi="標楷體" w:cs="Arial"/>
                      <w:color w:val="000000"/>
                      <w:kern w:val="0"/>
                      <w:szCs w:val="24"/>
                    </w:rPr>
                  </w:pPr>
                  <w:r w:rsidRPr="0022039A">
                    <w:rPr>
                      <w:rFonts w:ascii="標楷體" w:eastAsia="標楷體" w:hAnsi="標楷體" w:cs="Arial" w:hint="eastAsia"/>
                      <w:color w:val="000000"/>
                      <w:kern w:val="0"/>
                      <w:szCs w:val="24"/>
                    </w:rPr>
                    <w:t>離心濃縮機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B6B420" w14:textId="77777777" w:rsidR="00546D61" w:rsidRPr="0022039A" w:rsidRDefault="00546D61" w:rsidP="00390650">
                  <w:pPr>
                    <w:widowControl/>
                    <w:jc w:val="right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22039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200</w:t>
                  </w:r>
                </w:p>
              </w:tc>
              <w:tc>
                <w:tcPr>
                  <w:tcW w:w="66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28F2D6" w14:textId="77777777" w:rsidR="00546D61" w:rsidRPr="0022039A" w:rsidRDefault="00546D61" w:rsidP="0039065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22039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半小時為單位</w:t>
                  </w:r>
                </w:p>
              </w:tc>
            </w:tr>
          </w:tbl>
          <w:p w14:paraId="3BC1EB54" w14:textId="0D497E27" w:rsidR="00D2387A" w:rsidRPr="0022039A" w:rsidRDefault="005069C3" w:rsidP="00AB3295">
            <w:pPr>
              <w:pStyle w:val="a9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22039A">
              <w:rPr>
                <w:rFonts w:ascii="標楷體" w:eastAsia="標楷體" w:hAnsi="標楷體" w:hint="eastAsia"/>
              </w:rPr>
              <w:t>技術服務</w:t>
            </w:r>
            <w:r w:rsidR="00FB3139" w:rsidRPr="0022039A">
              <w:rPr>
                <w:rFonts w:ascii="標楷體" w:eastAsia="標楷體" w:hAnsi="標楷體" w:hint="eastAsia"/>
              </w:rPr>
              <w:t>需外加經費總額</w:t>
            </w:r>
            <w:r w:rsidR="00BE4B95">
              <w:rPr>
                <w:rFonts w:ascii="標楷體" w:eastAsia="標楷體" w:hAnsi="標楷體" w:hint="eastAsia"/>
              </w:rPr>
              <w:t>15</w:t>
            </w:r>
            <w:r w:rsidR="00FB3139" w:rsidRPr="0022039A">
              <w:rPr>
                <w:rFonts w:ascii="標楷體" w:eastAsia="標楷體" w:hAnsi="標楷體" w:hint="eastAsia"/>
              </w:rPr>
              <w:t>%</w:t>
            </w:r>
            <w:r w:rsidRPr="0022039A">
              <w:rPr>
                <w:rFonts w:ascii="標楷體" w:eastAsia="標楷體" w:hAnsi="標楷體" w:hint="eastAsia"/>
              </w:rPr>
              <w:t>管理費</w:t>
            </w:r>
            <w:r w:rsidR="00AB3295" w:rsidRPr="0022039A">
              <w:rPr>
                <w:rFonts w:ascii="標楷體" w:eastAsia="標楷體" w:hAnsi="標楷體" w:hint="eastAsia"/>
              </w:rPr>
              <w:t>。</w:t>
            </w:r>
          </w:p>
          <w:p w14:paraId="196DC5B1" w14:textId="77777777" w:rsidR="005069C3" w:rsidRPr="0022039A" w:rsidRDefault="005069C3" w:rsidP="00AB3295">
            <w:pPr>
              <w:pStyle w:val="a9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FF0000"/>
              </w:rPr>
            </w:pPr>
            <w:r w:rsidRPr="0022039A">
              <w:rPr>
                <w:rFonts w:ascii="標楷體" w:eastAsia="標楷體" w:hAnsi="標楷體" w:hint="eastAsia"/>
              </w:rPr>
              <w:t>如技術服務總額大於1萬元，需配合校方建教合作簽約</w:t>
            </w:r>
            <w:r w:rsidR="00FB3139" w:rsidRPr="0022039A">
              <w:rPr>
                <w:rFonts w:ascii="標楷體" w:eastAsia="標楷體" w:hAnsi="標楷體" w:hint="eastAsia"/>
                <w:color w:val="FF0000"/>
              </w:rPr>
              <w:t>。</w:t>
            </w:r>
          </w:p>
          <w:p w14:paraId="2345D86A" w14:textId="77777777" w:rsidR="00FB3139" w:rsidRPr="0022039A" w:rsidRDefault="00FB3139" w:rsidP="00AB3295">
            <w:pPr>
              <w:pStyle w:val="a9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22039A">
              <w:rPr>
                <w:rFonts w:ascii="標楷體" w:eastAsia="標楷體" w:hAnsi="標楷體" w:hint="eastAsia"/>
              </w:rPr>
              <w:t>合作機構可依需求選擇合作合約 （請參考以下網址）</w:t>
            </w:r>
            <w:r w:rsidR="00AB3295" w:rsidRPr="0022039A">
              <w:rPr>
                <w:rFonts w:ascii="標楷體" w:eastAsia="標楷體" w:hAnsi="標楷體" w:hint="eastAsia"/>
              </w:rPr>
              <w:t>。</w:t>
            </w:r>
          </w:p>
          <w:p w14:paraId="498C2E6D" w14:textId="77777777" w:rsidR="00FB3139" w:rsidRPr="0022039A" w:rsidRDefault="007C0971" w:rsidP="00FB3139">
            <w:pPr>
              <w:rPr>
                <w:rFonts w:ascii="標楷體" w:eastAsia="標楷體" w:hAnsi="標楷體"/>
              </w:rPr>
            </w:pPr>
            <w:hyperlink r:id="rId10" w:history="1">
              <w:r w:rsidR="00FB3139" w:rsidRPr="0022039A">
                <w:rPr>
                  <w:rStyle w:val="a8"/>
                  <w:rFonts w:ascii="標楷體" w:eastAsia="標楷體" w:hAnsi="標楷體"/>
                </w:rPr>
                <w:t>http://ord.ntu.edu.tw/RPA/LegislationContent.aspx?id=15&amp;chk=edc68bf5-8d3a-4276-ae80-34d154ddb03c&amp;param=pn%3d1</w:t>
              </w:r>
            </w:hyperlink>
          </w:p>
          <w:p w14:paraId="756E6085" w14:textId="77777777" w:rsidR="009D616E" w:rsidRPr="009D616E" w:rsidRDefault="009D616E" w:rsidP="009D616E">
            <w:pPr>
              <w:pStyle w:val="a9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9D616E">
              <w:rPr>
                <w:rFonts w:ascii="標楷體" w:eastAsia="標楷體" w:hAnsi="標楷體" w:hint="eastAsia"/>
              </w:rPr>
              <w:t>本表修訂於109年10月15日台大藥學系600 NMR、ESIMS、LC-MS及 HRMS 收費標準制訂會議</w:t>
            </w:r>
          </w:p>
          <w:p w14:paraId="21DDF639" w14:textId="62BFDC2C" w:rsidR="00FB3139" w:rsidRPr="0022039A" w:rsidRDefault="00FB3139" w:rsidP="009D616E">
            <w:pPr>
              <w:pStyle w:val="a9"/>
              <w:ind w:leftChars="0" w:left="360"/>
              <w:rPr>
                <w:rFonts w:ascii="標楷體" w:eastAsia="標楷體" w:hAnsi="標楷體"/>
              </w:rPr>
            </w:pPr>
          </w:p>
          <w:p w14:paraId="5B3BAE64" w14:textId="77777777" w:rsidR="00FB3139" w:rsidRPr="0022039A" w:rsidRDefault="00FB3139" w:rsidP="00FB3139">
            <w:pPr>
              <w:rPr>
                <w:rFonts w:ascii="標楷體" w:eastAsia="標楷體" w:hAnsi="標楷體"/>
              </w:rPr>
            </w:pPr>
          </w:p>
        </w:tc>
      </w:tr>
    </w:tbl>
    <w:p w14:paraId="1967A294" w14:textId="77777777" w:rsidR="00335105" w:rsidRDefault="00335105">
      <w:pPr>
        <w:rPr>
          <w:rFonts w:ascii="標楷體" w:eastAsia="標楷體" w:hAnsi="標楷體"/>
        </w:rPr>
      </w:pPr>
    </w:p>
    <w:p w14:paraId="0D86784D" w14:textId="77777777" w:rsidR="00AC28C2" w:rsidRDefault="00AC28C2">
      <w:pPr>
        <w:rPr>
          <w:rFonts w:ascii="標楷體" w:eastAsia="標楷體" w:hAnsi="標楷體"/>
        </w:rPr>
      </w:pPr>
    </w:p>
    <w:p w14:paraId="7AC1EA20" w14:textId="77777777" w:rsidR="00AC28C2" w:rsidRDefault="00AC28C2">
      <w:pPr>
        <w:rPr>
          <w:rFonts w:ascii="標楷體" w:eastAsia="標楷體" w:hAnsi="標楷體"/>
        </w:rPr>
      </w:pPr>
    </w:p>
    <w:p w14:paraId="7C3FCAC0" w14:textId="77777777" w:rsidR="00AC28C2" w:rsidRDefault="00AC28C2">
      <w:pPr>
        <w:rPr>
          <w:rFonts w:ascii="標楷體" w:eastAsia="標楷體" w:hAnsi="標楷體"/>
        </w:rPr>
      </w:pPr>
    </w:p>
    <w:p w14:paraId="4F09E0A5" w14:textId="4ECC4395" w:rsidR="005D0ED5" w:rsidRDefault="005D0ED5" w:rsidP="00BE4B95">
      <w:pPr>
        <w:widowControl/>
        <w:rPr>
          <w:rFonts w:ascii="標楷體" w:eastAsia="標楷體" w:hAnsi="標楷體"/>
          <w:b/>
          <w:sz w:val="36"/>
          <w:szCs w:val="36"/>
        </w:rPr>
      </w:pPr>
    </w:p>
    <w:sectPr w:rsidR="005D0ED5" w:rsidSect="004106CE">
      <w:pgSz w:w="11906" w:h="16838"/>
      <w:pgMar w:top="567" w:right="707" w:bottom="709" w:left="85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EEDCA13" w15:done="0"/>
  <w15:commentEx w15:paraId="136E187E" w15:done="0"/>
  <w15:commentEx w15:paraId="48C78DCC" w15:done="0"/>
  <w15:commentEx w15:paraId="6E7930DA" w15:paraIdParent="48C78DCC" w15:done="0"/>
  <w15:commentEx w15:paraId="01AE483C" w15:done="0"/>
  <w15:commentEx w15:paraId="1615CA97" w15:done="0"/>
  <w15:commentEx w15:paraId="5D09BD73" w15:done="0"/>
  <w15:commentEx w15:paraId="59B5D74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F6DFC" w14:textId="77777777" w:rsidR="007C0971" w:rsidRDefault="007C0971" w:rsidP="00EC56FC">
      <w:r>
        <w:separator/>
      </w:r>
    </w:p>
  </w:endnote>
  <w:endnote w:type="continuationSeparator" w:id="0">
    <w:p w14:paraId="66CEB9A0" w14:textId="77777777" w:rsidR="007C0971" w:rsidRDefault="007C0971" w:rsidP="00EC5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0A099" w14:textId="77777777" w:rsidR="007C0971" w:rsidRDefault="007C0971" w:rsidP="00EC56FC">
      <w:r>
        <w:separator/>
      </w:r>
    </w:p>
  </w:footnote>
  <w:footnote w:type="continuationSeparator" w:id="0">
    <w:p w14:paraId="1C14B928" w14:textId="77777777" w:rsidR="007C0971" w:rsidRDefault="007C0971" w:rsidP="00EC5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5C0D"/>
    <w:multiLevelType w:val="hybridMultilevel"/>
    <w:tmpl w:val="61205C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F93841"/>
    <w:multiLevelType w:val="hybridMultilevel"/>
    <w:tmpl w:val="8638A9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AAB0299"/>
    <w:multiLevelType w:val="hybridMultilevel"/>
    <w:tmpl w:val="356AA9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C6F3AC9"/>
    <w:multiLevelType w:val="hybridMultilevel"/>
    <w:tmpl w:val="E530F8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BE50D37"/>
    <w:multiLevelType w:val="hybridMultilevel"/>
    <w:tmpl w:val="4358E6B0"/>
    <w:lvl w:ilvl="0" w:tplc="9662D2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CE"/>
    <w:rsid w:val="00000DDF"/>
    <w:rsid w:val="000074D3"/>
    <w:rsid w:val="00015E86"/>
    <w:rsid w:val="00033D12"/>
    <w:rsid w:val="00062893"/>
    <w:rsid w:val="000631C2"/>
    <w:rsid w:val="000653FA"/>
    <w:rsid w:val="0007642C"/>
    <w:rsid w:val="00085167"/>
    <w:rsid w:val="001265C2"/>
    <w:rsid w:val="00180C25"/>
    <w:rsid w:val="001D0EE9"/>
    <w:rsid w:val="001D4EB1"/>
    <w:rsid w:val="0022039A"/>
    <w:rsid w:val="00234781"/>
    <w:rsid w:val="0024566A"/>
    <w:rsid w:val="00271E4C"/>
    <w:rsid w:val="00281908"/>
    <w:rsid w:val="002B73B2"/>
    <w:rsid w:val="00323ED5"/>
    <w:rsid w:val="00335105"/>
    <w:rsid w:val="00360D57"/>
    <w:rsid w:val="00390650"/>
    <w:rsid w:val="003F77BB"/>
    <w:rsid w:val="004106CE"/>
    <w:rsid w:val="00453602"/>
    <w:rsid w:val="004573E1"/>
    <w:rsid w:val="004625FB"/>
    <w:rsid w:val="004D23FD"/>
    <w:rsid w:val="005069C3"/>
    <w:rsid w:val="00527CA9"/>
    <w:rsid w:val="00546D61"/>
    <w:rsid w:val="00557F44"/>
    <w:rsid w:val="005B378C"/>
    <w:rsid w:val="005C11CF"/>
    <w:rsid w:val="005D0ED5"/>
    <w:rsid w:val="006070CB"/>
    <w:rsid w:val="006229A3"/>
    <w:rsid w:val="00691C67"/>
    <w:rsid w:val="00736485"/>
    <w:rsid w:val="00760772"/>
    <w:rsid w:val="00766953"/>
    <w:rsid w:val="00783B6A"/>
    <w:rsid w:val="007927CA"/>
    <w:rsid w:val="007C0971"/>
    <w:rsid w:val="007C45E9"/>
    <w:rsid w:val="00864C70"/>
    <w:rsid w:val="0088235F"/>
    <w:rsid w:val="008B4857"/>
    <w:rsid w:val="008C7513"/>
    <w:rsid w:val="0094643C"/>
    <w:rsid w:val="00983B1F"/>
    <w:rsid w:val="00997C48"/>
    <w:rsid w:val="009C717B"/>
    <w:rsid w:val="009D616E"/>
    <w:rsid w:val="00A96CC4"/>
    <w:rsid w:val="00AB3295"/>
    <w:rsid w:val="00AC28C2"/>
    <w:rsid w:val="00AE2467"/>
    <w:rsid w:val="00B158BF"/>
    <w:rsid w:val="00BD03FE"/>
    <w:rsid w:val="00BE4B95"/>
    <w:rsid w:val="00C41CA7"/>
    <w:rsid w:val="00CA270C"/>
    <w:rsid w:val="00CB33F8"/>
    <w:rsid w:val="00CF79E6"/>
    <w:rsid w:val="00D2387A"/>
    <w:rsid w:val="00D26BB0"/>
    <w:rsid w:val="00DA6522"/>
    <w:rsid w:val="00DE303B"/>
    <w:rsid w:val="00DF7BF6"/>
    <w:rsid w:val="00E0498B"/>
    <w:rsid w:val="00E756D2"/>
    <w:rsid w:val="00EC56FC"/>
    <w:rsid w:val="00EC7AA5"/>
    <w:rsid w:val="00F134EE"/>
    <w:rsid w:val="00F157DB"/>
    <w:rsid w:val="00FA04BE"/>
    <w:rsid w:val="00FA1AC3"/>
    <w:rsid w:val="00FB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AB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C56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C56F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56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C56FC"/>
    <w:rPr>
      <w:sz w:val="20"/>
      <w:szCs w:val="20"/>
    </w:rPr>
  </w:style>
  <w:style w:type="character" w:styleId="a8">
    <w:name w:val="Hyperlink"/>
    <w:basedOn w:val="a0"/>
    <w:uiPriority w:val="99"/>
    <w:unhideWhenUsed/>
    <w:rsid w:val="00FB3139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B3295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CB33F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B33F8"/>
  </w:style>
  <w:style w:type="character" w:customStyle="1" w:styleId="ac">
    <w:name w:val="註解文字 字元"/>
    <w:basedOn w:val="a0"/>
    <w:link w:val="ab"/>
    <w:uiPriority w:val="99"/>
    <w:semiHidden/>
    <w:rsid w:val="00CB33F8"/>
  </w:style>
  <w:style w:type="paragraph" w:styleId="ad">
    <w:name w:val="annotation subject"/>
    <w:basedOn w:val="ab"/>
    <w:next w:val="ab"/>
    <w:link w:val="ae"/>
    <w:uiPriority w:val="99"/>
    <w:semiHidden/>
    <w:unhideWhenUsed/>
    <w:rsid w:val="00CB33F8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CB33F8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B33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CB33F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C56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C56F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56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C56FC"/>
    <w:rPr>
      <w:sz w:val="20"/>
      <w:szCs w:val="20"/>
    </w:rPr>
  </w:style>
  <w:style w:type="character" w:styleId="a8">
    <w:name w:val="Hyperlink"/>
    <w:basedOn w:val="a0"/>
    <w:uiPriority w:val="99"/>
    <w:unhideWhenUsed/>
    <w:rsid w:val="00FB3139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B3295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CB33F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B33F8"/>
  </w:style>
  <w:style w:type="character" w:customStyle="1" w:styleId="ac">
    <w:name w:val="註解文字 字元"/>
    <w:basedOn w:val="a0"/>
    <w:link w:val="ab"/>
    <w:uiPriority w:val="99"/>
    <w:semiHidden/>
    <w:rsid w:val="00CB33F8"/>
  </w:style>
  <w:style w:type="paragraph" w:styleId="ad">
    <w:name w:val="annotation subject"/>
    <w:basedOn w:val="ab"/>
    <w:next w:val="ab"/>
    <w:link w:val="ae"/>
    <w:uiPriority w:val="99"/>
    <w:semiHidden/>
    <w:unhideWhenUsed/>
    <w:rsid w:val="00CB33F8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CB33F8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B33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CB33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ord.ntu.edu.tw/RPA/LegislationContent.aspx?id=15&amp;chk=edc68bf5-8d3a-4276-ae80-34d154ddb03c&amp;param=pn%3d1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hliang@ntu.edu.tw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BBC42-F42F-42F6-AAF3-E559CC726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</cp:lastModifiedBy>
  <cp:revision>2</cp:revision>
  <cp:lastPrinted>2017-01-06T08:16:00Z</cp:lastPrinted>
  <dcterms:created xsi:type="dcterms:W3CDTF">2021-04-01T07:01:00Z</dcterms:created>
  <dcterms:modified xsi:type="dcterms:W3CDTF">2021-04-01T07:01:00Z</dcterms:modified>
</cp:coreProperties>
</file>